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F53C3" w14:textId="77777777" w:rsidR="007A0A3D" w:rsidRDefault="00A1534B" w:rsidP="008927DE">
      <w:pPr>
        <w:jc w:val="center"/>
        <w:outlineLvl w:val="0"/>
      </w:pPr>
      <w:r>
        <w:t xml:space="preserve">Raport </w:t>
      </w:r>
      <w:r w:rsidR="009D3D41">
        <w:t>końcowy z realizacji projektu</w:t>
      </w:r>
      <w:r w:rsidR="00CA79E4">
        <w:t xml:space="preserve"> informatycznego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8"/>
        <w:gridCol w:w="1737"/>
        <w:gridCol w:w="6877"/>
      </w:tblGrid>
      <w:tr w:rsidR="007A0A3D" w:rsidRPr="002450C4" w14:paraId="188C9590" w14:textId="77777777" w:rsidTr="44E0F867">
        <w:tc>
          <w:tcPr>
            <w:tcW w:w="480" w:type="dxa"/>
          </w:tcPr>
          <w:p w14:paraId="4840D583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2350" w:type="dxa"/>
          </w:tcPr>
          <w:p w14:paraId="68B44E51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Wyszczególnienie</w:t>
            </w:r>
          </w:p>
        </w:tc>
        <w:tc>
          <w:tcPr>
            <w:tcW w:w="6232" w:type="dxa"/>
          </w:tcPr>
          <w:p w14:paraId="702199EA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Opis</w:t>
            </w:r>
          </w:p>
        </w:tc>
      </w:tr>
      <w:tr w:rsidR="007A0A3D" w:rsidRPr="002450C4" w14:paraId="6B8CCB1F" w14:textId="77777777" w:rsidTr="44E0F867">
        <w:tc>
          <w:tcPr>
            <w:tcW w:w="480" w:type="dxa"/>
          </w:tcPr>
          <w:p w14:paraId="672A6659" w14:textId="77777777" w:rsidR="007A0A3D" w:rsidRPr="002450C4" w:rsidRDefault="007A0A3D" w:rsidP="007A0A3D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644C6B94" w14:textId="77777777" w:rsidR="007A0A3D" w:rsidRPr="002450C4" w:rsidRDefault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>Tytuł projektu</w:t>
            </w:r>
          </w:p>
        </w:tc>
        <w:tc>
          <w:tcPr>
            <w:tcW w:w="6232" w:type="dxa"/>
          </w:tcPr>
          <w:p w14:paraId="5F760C88" w14:textId="77777777" w:rsidR="007A0A3D" w:rsidRPr="002450C4" w:rsidRDefault="00554E6C" w:rsidP="44E0F867">
            <w:pPr>
              <w:jc w:val="both"/>
              <w:rPr>
                <w:rFonts w:eastAsiaTheme="minorEastAsia"/>
                <w:i/>
                <w:iCs/>
                <w:sz w:val="18"/>
                <w:szCs w:val="18"/>
              </w:rPr>
            </w:pPr>
            <w:r w:rsidRPr="44E0F867">
              <w:rPr>
                <w:rFonts w:eastAsiaTheme="minorEastAsia"/>
                <w:color w:val="000000" w:themeColor="text1"/>
                <w:sz w:val="18"/>
                <w:szCs w:val="18"/>
              </w:rPr>
              <w:t xml:space="preserve">Cyfrowe udostępnianie zasobów </w:t>
            </w:r>
            <w:proofErr w:type="spellStart"/>
            <w:r w:rsidRPr="44E0F867">
              <w:rPr>
                <w:rFonts w:eastAsiaTheme="minorEastAsia"/>
                <w:color w:val="000000" w:themeColor="text1"/>
                <w:sz w:val="18"/>
                <w:szCs w:val="18"/>
              </w:rPr>
              <w:t>biomolekularnych</w:t>
            </w:r>
            <w:proofErr w:type="spellEnd"/>
            <w:r w:rsidRPr="44E0F867">
              <w:rPr>
                <w:rFonts w:eastAsiaTheme="minorEastAsia"/>
                <w:color w:val="000000" w:themeColor="text1"/>
                <w:sz w:val="18"/>
                <w:szCs w:val="18"/>
              </w:rPr>
              <w:t xml:space="preserve"> i opisowych </w:t>
            </w:r>
            <w:proofErr w:type="spellStart"/>
            <w:r w:rsidRPr="44E0F867">
              <w:rPr>
                <w:rFonts w:eastAsiaTheme="minorEastAsia"/>
                <w:color w:val="000000" w:themeColor="text1"/>
                <w:sz w:val="18"/>
                <w:szCs w:val="18"/>
              </w:rPr>
              <w:t>Biobanku</w:t>
            </w:r>
            <w:proofErr w:type="spellEnd"/>
            <w:r w:rsidRPr="44E0F867">
              <w:rPr>
                <w:rFonts w:eastAsiaTheme="minorEastAsia"/>
                <w:color w:val="000000" w:themeColor="text1"/>
                <w:sz w:val="18"/>
                <w:szCs w:val="18"/>
              </w:rPr>
              <w:t xml:space="preserve"> i Katedry Antropologii Uniwersytetu Łódzkiego – charakterystyka populacji zamieszkujących tereny dzisiejszej Polski na przestrzeni dziejów. Platforma informacyjna e-Czlowiek.pl</w:t>
            </w:r>
          </w:p>
        </w:tc>
      </w:tr>
      <w:tr w:rsidR="007A0A3D" w:rsidRPr="002450C4" w14:paraId="72B5AD75" w14:textId="77777777" w:rsidTr="44E0F867">
        <w:trPr>
          <w:trHeight w:val="265"/>
        </w:trPr>
        <w:tc>
          <w:tcPr>
            <w:tcW w:w="480" w:type="dxa"/>
          </w:tcPr>
          <w:p w14:paraId="0A37501D" w14:textId="77777777" w:rsidR="007A0A3D" w:rsidRPr="002450C4" w:rsidRDefault="007A0A3D" w:rsidP="007A0A3D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01F274E8" w14:textId="77777777" w:rsidR="007A0A3D" w:rsidRPr="002450C4" w:rsidRDefault="007A0A3D" w:rsidP="00A1534B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Beneficjent projektu </w:t>
            </w:r>
          </w:p>
        </w:tc>
        <w:tc>
          <w:tcPr>
            <w:tcW w:w="6232" w:type="dxa"/>
          </w:tcPr>
          <w:p w14:paraId="59B9860B" w14:textId="77777777" w:rsidR="001C611C" w:rsidRPr="00A1534B" w:rsidRDefault="00554E6C" w:rsidP="44E0F867">
            <w:pPr>
              <w:jc w:val="both"/>
              <w:rPr>
                <w:rFonts w:eastAsiaTheme="minorEastAsia"/>
                <w:i/>
                <w:iCs/>
                <w:sz w:val="18"/>
                <w:szCs w:val="18"/>
              </w:rPr>
            </w:pPr>
            <w:r w:rsidRPr="44E0F867">
              <w:rPr>
                <w:rFonts w:eastAsiaTheme="minorEastAsia"/>
                <w:color w:val="000000" w:themeColor="text1"/>
                <w:sz w:val="18"/>
                <w:szCs w:val="18"/>
              </w:rPr>
              <w:t>Uniwersytet Łódzki</w:t>
            </w:r>
          </w:p>
        </w:tc>
      </w:tr>
      <w:tr w:rsidR="007A0A3D" w:rsidRPr="002450C4" w14:paraId="5724BC12" w14:textId="77777777" w:rsidTr="44E0F867">
        <w:tc>
          <w:tcPr>
            <w:tcW w:w="480" w:type="dxa"/>
          </w:tcPr>
          <w:p w14:paraId="5DAB6C7B" w14:textId="77777777" w:rsidR="007A0A3D" w:rsidRPr="002450C4" w:rsidRDefault="007A0A3D" w:rsidP="007A0A3D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497553D3" w14:textId="77777777" w:rsidR="007A0A3D" w:rsidRPr="002450C4" w:rsidRDefault="007A0A3D" w:rsidP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Partnerzy </w:t>
            </w:r>
          </w:p>
        </w:tc>
        <w:tc>
          <w:tcPr>
            <w:tcW w:w="6232" w:type="dxa"/>
          </w:tcPr>
          <w:p w14:paraId="440B1779" w14:textId="77777777" w:rsidR="007A0A3D" w:rsidRPr="00B01164" w:rsidRDefault="00554E6C" w:rsidP="00FD074F">
            <w:pPr>
              <w:jc w:val="both"/>
              <w:rPr>
                <w:i/>
                <w:sz w:val="18"/>
                <w:szCs w:val="20"/>
              </w:rPr>
            </w:pPr>
            <w:r w:rsidRPr="00B01164">
              <w:rPr>
                <w:i/>
                <w:sz w:val="18"/>
                <w:szCs w:val="20"/>
              </w:rPr>
              <w:t>BRAK</w:t>
            </w:r>
            <w:r w:rsidR="00A1534B" w:rsidRPr="00B01164">
              <w:rPr>
                <w:i/>
                <w:sz w:val="18"/>
                <w:szCs w:val="20"/>
              </w:rPr>
              <w:t xml:space="preserve"> </w:t>
            </w:r>
          </w:p>
        </w:tc>
      </w:tr>
      <w:tr w:rsidR="003B107D" w:rsidRPr="002450C4" w14:paraId="0DA372C9" w14:textId="77777777" w:rsidTr="44E0F867">
        <w:tc>
          <w:tcPr>
            <w:tcW w:w="480" w:type="dxa"/>
          </w:tcPr>
          <w:p w14:paraId="02EB378F" w14:textId="77777777" w:rsidR="003B107D" w:rsidRPr="002450C4" w:rsidRDefault="003B107D" w:rsidP="007A0A3D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315C6749" w14:textId="77777777" w:rsidR="003B107D" w:rsidRDefault="005A4344" w:rsidP="0092099A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finansowy</w:t>
            </w:r>
          </w:p>
        </w:tc>
        <w:tc>
          <w:tcPr>
            <w:tcW w:w="6232" w:type="dxa"/>
          </w:tcPr>
          <w:p w14:paraId="4739711A" w14:textId="7CC56B2B" w:rsidR="7A1693C7" w:rsidRPr="00B01164" w:rsidRDefault="7A1693C7" w:rsidP="44E0F867">
            <w:pPr>
              <w:jc w:val="both"/>
              <w:rPr>
                <w:sz w:val="18"/>
                <w:szCs w:val="18"/>
              </w:rPr>
            </w:pPr>
            <w:r w:rsidRPr="00B01164">
              <w:rPr>
                <w:sz w:val="18"/>
                <w:szCs w:val="18"/>
              </w:rPr>
              <w:t xml:space="preserve">Planowany koszt projektu: </w:t>
            </w:r>
            <w:r w:rsidR="1DF04FD4" w:rsidRPr="00B01164">
              <w:rPr>
                <w:sz w:val="18"/>
                <w:szCs w:val="18"/>
              </w:rPr>
              <w:t>6 669 971,00</w:t>
            </w:r>
          </w:p>
          <w:p w14:paraId="4F16159C" w14:textId="54DFA151" w:rsidR="358F4A54" w:rsidRPr="00B01164" w:rsidRDefault="358F4A54" w:rsidP="44E0F867">
            <w:pPr>
              <w:jc w:val="both"/>
              <w:rPr>
                <w:sz w:val="18"/>
                <w:szCs w:val="18"/>
              </w:rPr>
            </w:pPr>
            <w:r w:rsidRPr="00B01164">
              <w:rPr>
                <w:sz w:val="18"/>
                <w:szCs w:val="18"/>
              </w:rPr>
              <w:t xml:space="preserve">Faktyczny koszt projektu: </w:t>
            </w:r>
            <w:r w:rsidR="00612B08" w:rsidRPr="00B01164">
              <w:rPr>
                <w:sz w:val="18"/>
                <w:szCs w:val="18"/>
              </w:rPr>
              <w:t>6 669 971,00</w:t>
            </w:r>
          </w:p>
          <w:p w14:paraId="0643D321" w14:textId="07A96443" w:rsidR="15FE95B6" w:rsidRPr="00B01164" w:rsidRDefault="0B2597A0" w:rsidP="44E0F867">
            <w:pPr>
              <w:jc w:val="both"/>
              <w:rPr>
                <w:sz w:val="18"/>
                <w:szCs w:val="18"/>
              </w:rPr>
            </w:pPr>
            <w:r w:rsidRPr="00B01164">
              <w:rPr>
                <w:sz w:val="18"/>
                <w:szCs w:val="18"/>
              </w:rPr>
              <w:t>Z</w:t>
            </w:r>
            <w:r w:rsidR="6364460D" w:rsidRPr="00B01164">
              <w:rPr>
                <w:sz w:val="18"/>
                <w:szCs w:val="18"/>
              </w:rPr>
              <w:t xml:space="preserve">miany w budżecie projektu wynikają </w:t>
            </w:r>
            <w:r w:rsidR="00EE722B">
              <w:rPr>
                <w:sz w:val="18"/>
                <w:szCs w:val="18"/>
              </w:rPr>
              <w:t xml:space="preserve">z nałożenia korekt na wydatki </w:t>
            </w:r>
            <w:r w:rsidR="00EE722B" w:rsidRPr="00B01164">
              <w:rPr>
                <w:sz w:val="18"/>
                <w:szCs w:val="18"/>
              </w:rPr>
              <w:t>po kontrolach ex-post postępowań o udzielenie zamówienia publicznego</w:t>
            </w:r>
            <w:r w:rsidR="00EE722B">
              <w:rPr>
                <w:sz w:val="18"/>
                <w:szCs w:val="18"/>
              </w:rPr>
              <w:t xml:space="preserve">. W trakcie kontroli </w:t>
            </w:r>
            <w:r w:rsidR="15FE95B6" w:rsidRPr="00B01164">
              <w:rPr>
                <w:sz w:val="18"/>
                <w:szCs w:val="18"/>
              </w:rPr>
              <w:t>do</w:t>
            </w:r>
            <w:r w:rsidR="00EE722B">
              <w:rPr>
                <w:sz w:val="18"/>
                <w:szCs w:val="18"/>
              </w:rPr>
              <w:t>patrzono się</w:t>
            </w:r>
            <w:r w:rsidR="15FE95B6" w:rsidRPr="00B01164">
              <w:rPr>
                <w:sz w:val="18"/>
                <w:szCs w:val="18"/>
              </w:rPr>
              <w:t xml:space="preserve"> uchybień </w:t>
            </w:r>
            <w:r w:rsidR="6325A966" w:rsidRPr="00B01164">
              <w:rPr>
                <w:sz w:val="18"/>
                <w:szCs w:val="18"/>
              </w:rPr>
              <w:t>proceduralnych. Mianowicie Instytucja pośrednicząca uznała, iż zostały zastosowane zbyt wygórowane wymagania w zakre</w:t>
            </w:r>
            <w:r w:rsidR="04C6319A" w:rsidRPr="00B01164">
              <w:rPr>
                <w:sz w:val="18"/>
                <w:szCs w:val="18"/>
              </w:rPr>
              <w:t>sie kompetencji wykonawcy</w:t>
            </w:r>
            <w:r w:rsidR="38C8CA48" w:rsidRPr="00B01164">
              <w:rPr>
                <w:sz w:val="18"/>
                <w:szCs w:val="18"/>
              </w:rPr>
              <w:t xml:space="preserve">, które mogły ograniczać udział w postępowaniu. Drugi przypadek dotyczył żądania dokumentów od wykonawcy – na </w:t>
            </w:r>
            <w:r w:rsidR="32E66606" w:rsidRPr="00B01164">
              <w:rPr>
                <w:sz w:val="18"/>
                <w:szCs w:val="18"/>
              </w:rPr>
              <w:t xml:space="preserve">etapie podpisania umowy IP zarzuciła Beneficjentowi brak wystąpienia o dostarczenie dokumentów, które zostały </w:t>
            </w:r>
            <w:r w:rsidR="00A32BCA">
              <w:rPr>
                <w:sz w:val="18"/>
                <w:szCs w:val="18"/>
              </w:rPr>
              <w:t>przekazane</w:t>
            </w:r>
            <w:r w:rsidR="32E66606" w:rsidRPr="00B01164">
              <w:rPr>
                <w:sz w:val="18"/>
                <w:szCs w:val="18"/>
              </w:rPr>
              <w:t xml:space="preserve"> na etapie składania oferty.</w:t>
            </w:r>
          </w:p>
          <w:p w14:paraId="5088DD1F" w14:textId="0878103F" w:rsidR="00612B08" w:rsidRPr="00612B08" w:rsidRDefault="00F07802" w:rsidP="00F07802">
            <w:pPr>
              <w:jc w:val="both"/>
              <w:rPr>
                <w:sz w:val="18"/>
                <w:szCs w:val="18"/>
              </w:rPr>
            </w:pPr>
            <w:r w:rsidRPr="00B01164">
              <w:rPr>
                <w:i/>
                <w:iCs/>
                <w:sz w:val="18"/>
                <w:szCs w:val="18"/>
              </w:rPr>
              <w:t>Wartość korekt nałożonych na Beneficjenta: 100 412,34</w:t>
            </w:r>
            <w:r w:rsidR="00612B08">
              <w:rPr>
                <w:i/>
                <w:iCs/>
                <w:sz w:val="18"/>
                <w:szCs w:val="18"/>
              </w:rPr>
              <w:t xml:space="preserve"> – stanowi to koszt niekwalifikowalny projektu.</w:t>
            </w:r>
          </w:p>
          <w:p w14:paraId="524FF894" w14:textId="61002A3E" w:rsidR="00AF538A" w:rsidRPr="00B01164" w:rsidRDefault="00AF538A" w:rsidP="44E0F867">
            <w:pPr>
              <w:jc w:val="both"/>
              <w:rPr>
                <w:i/>
                <w:iCs/>
                <w:sz w:val="18"/>
                <w:szCs w:val="18"/>
              </w:rPr>
            </w:pPr>
          </w:p>
          <w:p w14:paraId="5E617C9D" w14:textId="5C054445" w:rsidR="00AF538A" w:rsidRPr="00B01164" w:rsidRDefault="00AF538A" w:rsidP="44E0F867">
            <w:pPr>
              <w:jc w:val="both"/>
              <w:rPr>
                <w:i/>
                <w:iCs/>
                <w:sz w:val="18"/>
                <w:szCs w:val="18"/>
              </w:rPr>
            </w:pPr>
            <w:r w:rsidRPr="00843BF8">
              <w:rPr>
                <w:iCs/>
                <w:sz w:val="18"/>
                <w:szCs w:val="18"/>
              </w:rPr>
              <w:t xml:space="preserve">Certyfikacja na dzień 31.07.2021: </w:t>
            </w:r>
            <w:r w:rsidR="00A32BCA">
              <w:rPr>
                <w:iCs/>
                <w:sz w:val="18"/>
                <w:szCs w:val="18"/>
              </w:rPr>
              <w:t>93,91%</w:t>
            </w:r>
            <w:r w:rsidR="00843BF8" w:rsidRPr="00843BF8">
              <w:rPr>
                <w:iCs/>
                <w:sz w:val="18"/>
                <w:szCs w:val="18"/>
              </w:rPr>
              <w:t xml:space="preserve"> – rozliczanie części finansowej projektu nie jest jeszcze zakończone – nie został złożony wniosek o płatność końcową, trwają kontrole</w:t>
            </w:r>
            <w:r w:rsidR="00A32BCA">
              <w:rPr>
                <w:iCs/>
                <w:sz w:val="18"/>
                <w:szCs w:val="18"/>
              </w:rPr>
              <w:t xml:space="preserve"> </w:t>
            </w:r>
            <w:r w:rsidR="00843BF8" w:rsidRPr="00843BF8">
              <w:rPr>
                <w:iCs/>
                <w:sz w:val="18"/>
                <w:szCs w:val="18"/>
              </w:rPr>
              <w:t>ex-post postępowań prowadzonych w ramach projektu</w:t>
            </w:r>
            <w:r w:rsidR="00843BF8">
              <w:rPr>
                <w:i/>
                <w:iCs/>
                <w:sz w:val="18"/>
                <w:szCs w:val="18"/>
              </w:rPr>
              <w:t>.</w:t>
            </w:r>
          </w:p>
          <w:p w14:paraId="2B456914" w14:textId="769718C4" w:rsidR="003B107D" w:rsidRPr="00B01164" w:rsidRDefault="003B107D" w:rsidP="00BC120E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7A0A3D" w:rsidRPr="002450C4" w14:paraId="5A868602" w14:textId="77777777" w:rsidTr="44E0F867">
        <w:tc>
          <w:tcPr>
            <w:tcW w:w="480" w:type="dxa"/>
          </w:tcPr>
          <w:p w14:paraId="6A05A809" w14:textId="77777777" w:rsidR="007A0A3D" w:rsidRPr="002450C4" w:rsidRDefault="007A0A3D" w:rsidP="007A0A3D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3574847E" w14:textId="3417C66E" w:rsidR="003B0BCC" w:rsidRPr="002450C4" w:rsidRDefault="005A4344" w:rsidP="003B0BCC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rzeczowy</w:t>
            </w:r>
          </w:p>
          <w:p w14:paraId="3049400A" w14:textId="347A37F1" w:rsidR="00551CE6" w:rsidRPr="002450C4" w:rsidRDefault="00551CE6" w:rsidP="00551CE6">
            <w:pPr>
              <w:rPr>
                <w:sz w:val="18"/>
                <w:szCs w:val="20"/>
              </w:rPr>
            </w:pPr>
          </w:p>
        </w:tc>
        <w:tc>
          <w:tcPr>
            <w:tcW w:w="6232" w:type="dxa"/>
          </w:tcPr>
          <w:p w14:paraId="757F9723" w14:textId="3CE39363" w:rsidR="0040462A" w:rsidRDefault="0040462A" w:rsidP="44E0F867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Początek realizacji projektu:</w:t>
            </w:r>
            <w:r w:rsidR="00843BF8">
              <w:rPr>
                <w:i/>
                <w:iCs/>
                <w:sz w:val="18"/>
                <w:szCs w:val="18"/>
              </w:rPr>
              <w:t xml:space="preserve"> 2017-11-01</w:t>
            </w:r>
          </w:p>
          <w:p w14:paraId="54D9B2D5" w14:textId="45498AB4" w:rsidR="0040462A" w:rsidRDefault="0040462A" w:rsidP="44E0F867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Pierwotnie planowany termin końca realizacji projektu:</w:t>
            </w:r>
            <w:r w:rsidR="00843BF8">
              <w:rPr>
                <w:i/>
                <w:iCs/>
                <w:sz w:val="18"/>
                <w:szCs w:val="18"/>
              </w:rPr>
              <w:t xml:space="preserve"> 2020-10-31</w:t>
            </w:r>
          </w:p>
          <w:p w14:paraId="3524848B" w14:textId="668A1A05" w:rsidR="0040462A" w:rsidRDefault="0040462A" w:rsidP="0040462A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Zaktualizowany termin końca realizacji projektu:</w:t>
            </w:r>
            <w:r w:rsidR="00843BF8">
              <w:rPr>
                <w:i/>
                <w:iCs/>
                <w:sz w:val="18"/>
                <w:szCs w:val="18"/>
              </w:rPr>
              <w:t xml:space="preserve"> 2021-04-30</w:t>
            </w:r>
          </w:p>
          <w:p w14:paraId="0780F3DF" w14:textId="68F4640E" w:rsidR="0040462A" w:rsidRDefault="0040462A" w:rsidP="44E0F867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Faktyczny termin końca realizacji projektu:</w:t>
            </w:r>
            <w:r w:rsidR="00843BF8">
              <w:rPr>
                <w:i/>
                <w:iCs/>
                <w:sz w:val="18"/>
                <w:szCs w:val="18"/>
              </w:rPr>
              <w:t xml:space="preserve"> 2021-04-30</w:t>
            </w:r>
          </w:p>
          <w:p w14:paraId="40F831C7" w14:textId="315AE57F" w:rsidR="0040462A" w:rsidRDefault="0040462A" w:rsidP="44E0F867">
            <w:pPr>
              <w:jc w:val="both"/>
              <w:rPr>
                <w:i/>
                <w:iCs/>
                <w:sz w:val="18"/>
                <w:szCs w:val="18"/>
              </w:rPr>
            </w:pPr>
          </w:p>
          <w:p w14:paraId="07230545" w14:textId="1E5DF7C2" w:rsidR="00843BF8" w:rsidRDefault="00843BF8" w:rsidP="44E0F867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Modyfikacja </w:t>
            </w:r>
            <w:r w:rsidR="00612B08">
              <w:rPr>
                <w:i/>
                <w:iCs/>
                <w:sz w:val="18"/>
                <w:szCs w:val="18"/>
              </w:rPr>
              <w:t xml:space="preserve">terminu </w:t>
            </w:r>
            <w:r>
              <w:rPr>
                <w:i/>
                <w:iCs/>
                <w:sz w:val="18"/>
                <w:szCs w:val="18"/>
              </w:rPr>
              <w:t>realizacji projektu wynikała z ograniczeń w dostępie do laboratoriów spowodowanych epidemią COVID-19 – za zgodą instytucji pośredniczącej przedłużono realizację projektu o 6 miesięcy.</w:t>
            </w:r>
          </w:p>
          <w:p w14:paraId="0B91532D" w14:textId="77777777" w:rsidR="00843BF8" w:rsidRDefault="00843BF8" w:rsidP="44E0F867">
            <w:pPr>
              <w:jc w:val="both"/>
              <w:rPr>
                <w:i/>
                <w:iCs/>
                <w:sz w:val="18"/>
                <w:szCs w:val="18"/>
              </w:rPr>
            </w:pPr>
          </w:p>
          <w:p w14:paraId="75552AAD" w14:textId="3AD60E87" w:rsidR="44E0F867" w:rsidRDefault="006107FF" w:rsidP="44E0F867">
            <w:pPr>
              <w:jc w:val="both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Pomimo opóźnień w realizacji niektórych kamieni milowych wszystkie wskaźniki projektu zostały osiągnięte </w:t>
            </w:r>
            <w:r w:rsidR="005F3DD8">
              <w:rPr>
                <w:i/>
                <w:iCs/>
                <w:sz w:val="18"/>
                <w:szCs w:val="18"/>
              </w:rPr>
              <w:t>w zaplanowanych terminach. Wszystkie zaplanowane produkty projektu zostały wytworzone.</w:t>
            </w:r>
          </w:p>
          <w:p w14:paraId="772545D8" w14:textId="77777777" w:rsidR="007F7E61" w:rsidRDefault="007F7E61" w:rsidP="44E0F867">
            <w:pPr>
              <w:jc w:val="both"/>
              <w:rPr>
                <w:i/>
                <w:iCs/>
                <w:sz w:val="18"/>
                <w:szCs w:val="18"/>
              </w:rPr>
            </w:pPr>
          </w:p>
          <w:p w14:paraId="6BF576A3" w14:textId="13389ED1" w:rsidR="007F7E61" w:rsidRDefault="0051364F" w:rsidP="007F7E61">
            <w:pPr>
              <w:pStyle w:val="Other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Status realizacji Kamieni Milowych w projekcie</w:t>
            </w:r>
          </w:p>
          <w:p w14:paraId="4938309B" w14:textId="77777777" w:rsidR="006107FF" w:rsidRDefault="006107FF" w:rsidP="44E0F867">
            <w:pPr>
              <w:jc w:val="both"/>
              <w:rPr>
                <w:i/>
                <w:iCs/>
                <w:sz w:val="18"/>
                <w:szCs w:val="18"/>
              </w:rPr>
            </w:pPr>
          </w:p>
          <w:tbl>
            <w:tblPr>
              <w:tblStyle w:val="TableGrid"/>
              <w:tblW w:w="0" w:type="auto"/>
              <w:tblLook w:val="06A0" w:firstRow="1" w:lastRow="0" w:firstColumn="1" w:lastColumn="0" w:noHBand="1" w:noVBand="1"/>
            </w:tblPr>
            <w:tblGrid>
              <w:gridCol w:w="1578"/>
              <w:gridCol w:w="1306"/>
              <w:gridCol w:w="1395"/>
              <w:gridCol w:w="1826"/>
            </w:tblGrid>
            <w:tr w:rsidR="44E0F867" w14:paraId="18A02F02" w14:textId="77777777" w:rsidTr="007F7E61">
              <w:tc>
                <w:tcPr>
                  <w:tcW w:w="157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0CECE" w:themeFill="background2" w:themeFillShade="E6"/>
                </w:tcPr>
                <w:p w14:paraId="3E44857E" w14:textId="3AD81A17" w:rsidR="44E0F867" w:rsidRDefault="44E0F867">
                  <w:r w:rsidRPr="44E0F867">
                    <w:rPr>
                      <w:rFonts w:ascii="Arial" w:eastAsia="Arial" w:hAnsi="Arial" w:cs="Arial"/>
                      <w:b/>
                      <w:bCs/>
                      <w:color w:val="000000" w:themeColor="text1"/>
                      <w:sz w:val="20"/>
                      <w:szCs w:val="20"/>
                      <w:lang w:val="pl"/>
                    </w:rPr>
                    <w:t>Nazwa</w:t>
                  </w:r>
                </w:p>
              </w:tc>
              <w:tc>
                <w:tcPr>
                  <w:tcW w:w="13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0CECE" w:themeFill="background2" w:themeFillShade="E6"/>
                </w:tcPr>
                <w:p w14:paraId="6A5A42CE" w14:textId="46AFC5CB" w:rsidR="44E0F867" w:rsidRDefault="44E0F867">
                  <w:r w:rsidRPr="44E0F867">
                    <w:rPr>
                      <w:rFonts w:ascii="Arial" w:eastAsia="Arial" w:hAnsi="Arial" w:cs="Arial"/>
                      <w:b/>
                      <w:bCs/>
                      <w:color w:val="000000" w:themeColor="text1"/>
                      <w:sz w:val="20"/>
                      <w:szCs w:val="20"/>
                      <w:lang w:val="pl"/>
                    </w:rPr>
                    <w:t>Planowany termin osiągnięcia</w:t>
                  </w:r>
                </w:p>
              </w:tc>
              <w:tc>
                <w:tcPr>
                  <w:tcW w:w="13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0CECE" w:themeFill="background2" w:themeFillShade="E6"/>
                </w:tcPr>
                <w:p w14:paraId="2B76B4BE" w14:textId="169DABD0" w:rsidR="44E0F867" w:rsidRDefault="44E0F867">
                  <w:r w:rsidRPr="44E0F867">
                    <w:rPr>
                      <w:rFonts w:ascii="Arial" w:eastAsia="Arial" w:hAnsi="Arial" w:cs="Arial"/>
                      <w:b/>
                      <w:bCs/>
                      <w:color w:val="000000" w:themeColor="text1"/>
                      <w:sz w:val="20"/>
                      <w:szCs w:val="20"/>
                      <w:lang w:val="pl"/>
                    </w:rPr>
                    <w:t>Rzeczywisty termin osiągnięcia</w:t>
                  </w:r>
                </w:p>
              </w:tc>
              <w:tc>
                <w:tcPr>
                  <w:tcW w:w="182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0CECE" w:themeFill="background2" w:themeFillShade="E6"/>
                </w:tcPr>
                <w:p w14:paraId="2EC6697B" w14:textId="00DB9352" w:rsidR="44E0F867" w:rsidRDefault="44E0F867">
                  <w:r w:rsidRPr="44E0F867">
                    <w:rPr>
                      <w:rFonts w:ascii="Arial" w:eastAsia="Arial" w:hAnsi="Arial" w:cs="Arial"/>
                      <w:b/>
                      <w:bCs/>
                      <w:color w:val="000000" w:themeColor="text1"/>
                      <w:sz w:val="20"/>
                      <w:szCs w:val="20"/>
                      <w:lang w:val="pl"/>
                    </w:rPr>
                    <w:t>Status realizacji kamienia milowego</w:t>
                  </w:r>
                </w:p>
              </w:tc>
            </w:tr>
            <w:tr w:rsidR="44E0F867" w14:paraId="5619CF1E" w14:textId="77777777" w:rsidTr="007F7E61">
              <w:tc>
                <w:tcPr>
                  <w:tcW w:w="157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F10943B" w14:textId="17FA243A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Wybór wykonawców systemu informatycznego na drodze postepowania o udzielenie zamówienia publicznego</w:t>
                  </w:r>
                </w:p>
              </w:tc>
              <w:tc>
                <w:tcPr>
                  <w:tcW w:w="13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24BE25C" w14:textId="383CE85F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04-2018</w:t>
                  </w:r>
                </w:p>
              </w:tc>
              <w:tc>
                <w:tcPr>
                  <w:tcW w:w="13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47734A3" w14:textId="15D55402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05-2019</w:t>
                  </w:r>
                </w:p>
              </w:tc>
              <w:tc>
                <w:tcPr>
                  <w:tcW w:w="182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78195650" w14:textId="290CD5BD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Osiągnięto</w:t>
                  </w:r>
                </w:p>
                <w:p w14:paraId="635C3E17" w14:textId="7A8FD9B8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 xml:space="preserve">opóźnienie wynika z przedłużających się procedur o udzielenie zamówienia publicznego. </w:t>
                  </w:r>
                </w:p>
                <w:p w14:paraId="4687747A" w14:textId="0DABCFF1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 xml:space="preserve"> </w:t>
                  </w:r>
                </w:p>
                <w:p w14:paraId="115E27E1" w14:textId="6ED9D394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 xml:space="preserve"> </w:t>
                  </w:r>
                </w:p>
                <w:p w14:paraId="23A93609" w14:textId="3269C41C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 xml:space="preserve"> </w:t>
                  </w:r>
                </w:p>
                <w:p w14:paraId="66B02D9D" w14:textId="501AFB44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 xml:space="preserve"> </w:t>
                  </w:r>
                </w:p>
                <w:p w14:paraId="4C9FFDCD" w14:textId="558D8103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 xml:space="preserve"> </w:t>
                  </w:r>
                </w:p>
                <w:p w14:paraId="5F4206C0" w14:textId="4E04DA73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 xml:space="preserve"> </w:t>
                  </w:r>
                </w:p>
                <w:p w14:paraId="22CBA9E3" w14:textId="3930554C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 xml:space="preserve"> </w:t>
                  </w:r>
                </w:p>
              </w:tc>
            </w:tr>
            <w:tr w:rsidR="44E0F867" w14:paraId="7F44DA90" w14:textId="77777777" w:rsidTr="007F7E61">
              <w:tc>
                <w:tcPr>
                  <w:tcW w:w="157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84224D7" w14:textId="5A8E8A14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Przygotowanie i uruchomienie platformy informatycznej MVP</w:t>
                  </w:r>
                </w:p>
              </w:tc>
              <w:tc>
                <w:tcPr>
                  <w:tcW w:w="13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39CDBBB" w14:textId="0ADB2C59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07-2019</w:t>
                  </w:r>
                </w:p>
              </w:tc>
              <w:tc>
                <w:tcPr>
                  <w:tcW w:w="13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0BB3B047" w14:textId="2BAB0C5A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07-2019</w:t>
                  </w:r>
                </w:p>
              </w:tc>
              <w:tc>
                <w:tcPr>
                  <w:tcW w:w="182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77863DF2" w14:textId="7947FB7B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Osiągnięto</w:t>
                  </w:r>
                </w:p>
              </w:tc>
            </w:tr>
            <w:tr w:rsidR="44E0F867" w14:paraId="19B4D62E" w14:textId="77777777" w:rsidTr="007F7E61">
              <w:tc>
                <w:tcPr>
                  <w:tcW w:w="157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2638D98C" w14:textId="40921B51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lastRenderedPageBreak/>
                    <w:t>Uruchomienie wersji beta systemu</w:t>
                  </w:r>
                </w:p>
              </w:tc>
              <w:tc>
                <w:tcPr>
                  <w:tcW w:w="13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6AF4935" w14:textId="6CBCA39B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10-2019</w:t>
                  </w:r>
                </w:p>
              </w:tc>
              <w:tc>
                <w:tcPr>
                  <w:tcW w:w="13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F9D7C9B" w14:textId="534C3E5E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10-2019</w:t>
                  </w:r>
                </w:p>
              </w:tc>
              <w:tc>
                <w:tcPr>
                  <w:tcW w:w="182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7676F733" w14:textId="198A0C0B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Osiągnięto</w:t>
                  </w:r>
                </w:p>
              </w:tc>
            </w:tr>
            <w:tr w:rsidR="44E0F867" w14:paraId="5ED59193" w14:textId="77777777" w:rsidTr="007F7E61">
              <w:tc>
                <w:tcPr>
                  <w:tcW w:w="157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5EEC469E" w14:textId="762E5CB7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proofErr w:type="spellStart"/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Uruchominie</w:t>
                  </w:r>
                  <w:proofErr w:type="spellEnd"/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 xml:space="preserve"> wersji produkcyjnej platformy</w:t>
                  </w:r>
                </w:p>
              </w:tc>
              <w:tc>
                <w:tcPr>
                  <w:tcW w:w="13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69C1B28" w14:textId="6B455FA0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12-2019</w:t>
                  </w:r>
                </w:p>
              </w:tc>
              <w:tc>
                <w:tcPr>
                  <w:tcW w:w="13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5923A243" w14:textId="3DF98575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12-2019</w:t>
                  </w:r>
                </w:p>
              </w:tc>
              <w:tc>
                <w:tcPr>
                  <w:tcW w:w="182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6592E04" w14:textId="76241346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Osiągnięto</w:t>
                  </w:r>
                </w:p>
              </w:tc>
            </w:tr>
            <w:tr w:rsidR="44E0F867" w14:paraId="2F3F8852" w14:textId="77777777" w:rsidTr="007F7E61">
              <w:tc>
                <w:tcPr>
                  <w:tcW w:w="157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06791A1F" w14:textId="2A50700A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Testy systemu</w:t>
                  </w:r>
                </w:p>
              </w:tc>
              <w:tc>
                <w:tcPr>
                  <w:tcW w:w="13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7626CEF6" w14:textId="47F6E891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01-2020</w:t>
                  </w:r>
                </w:p>
              </w:tc>
              <w:tc>
                <w:tcPr>
                  <w:tcW w:w="13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3FE3059" w14:textId="12618978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01-2020</w:t>
                  </w:r>
                </w:p>
              </w:tc>
              <w:tc>
                <w:tcPr>
                  <w:tcW w:w="182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7C416513" w14:textId="3710D0A9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Osiągnięto</w:t>
                  </w:r>
                </w:p>
              </w:tc>
            </w:tr>
            <w:tr w:rsidR="44E0F867" w14:paraId="6B9B69AF" w14:textId="77777777" w:rsidTr="007F7E61">
              <w:tc>
                <w:tcPr>
                  <w:tcW w:w="157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779F475C" w14:textId="78DC4147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Odbiór systemu</w:t>
                  </w:r>
                </w:p>
              </w:tc>
              <w:tc>
                <w:tcPr>
                  <w:tcW w:w="13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0E9FF632" w14:textId="0F4A89D9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07-2020</w:t>
                  </w:r>
                </w:p>
              </w:tc>
              <w:tc>
                <w:tcPr>
                  <w:tcW w:w="13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E28952A" w14:textId="2F9FD412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01-2020</w:t>
                  </w:r>
                </w:p>
              </w:tc>
              <w:tc>
                <w:tcPr>
                  <w:tcW w:w="182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AE7B13E" w14:textId="40A76EA2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Osiągnięto</w:t>
                  </w:r>
                </w:p>
              </w:tc>
            </w:tr>
            <w:tr w:rsidR="44E0F867" w14:paraId="023AB000" w14:textId="77777777" w:rsidTr="007F7E61">
              <w:tc>
                <w:tcPr>
                  <w:tcW w:w="157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76BDA8FB" w14:textId="2730D1B8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 xml:space="preserve">Utrzymanie </w:t>
                  </w:r>
                  <w:proofErr w:type="spellStart"/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sysemu</w:t>
                  </w:r>
                  <w:proofErr w:type="spellEnd"/>
                </w:p>
              </w:tc>
              <w:tc>
                <w:tcPr>
                  <w:tcW w:w="13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7FEBC74" w14:textId="6CB7359C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04-2021</w:t>
                  </w:r>
                </w:p>
              </w:tc>
              <w:tc>
                <w:tcPr>
                  <w:tcW w:w="13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590E7062" w14:textId="00635F4C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04-2021</w:t>
                  </w:r>
                </w:p>
              </w:tc>
              <w:tc>
                <w:tcPr>
                  <w:tcW w:w="182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51873A47" w14:textId="1620B869" w:rsidR="2E5FCC4C" w:rsidRDefault="2E5FCC4C" w:rsidP="44E0F867">
                  <w:pPr>
                    <w:spacing w:line="259" w:lineRule="auto"/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Osiągnięto</w:t>
                  </w:r>
                </w:p>
              </w:tc>
            </w:tr>
            <w:tr w:rsidR="44E0F867" w14:paraId="3C638C52" w14:textId="77777777" w:rsidTr="007F7E61">
              <w:tc>
                <w:tcPr>
                  <w:tcW w:w="157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7260CE9" w14:textId="5A380B80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Zakup sprzętu i materiałów na potrzeby cyfryzacji</w:t>
                  </w:r>
                </w:p>
              </w:tc>
              <w:tc>
                <w:tcPr>
                  <w:tcW w:w="13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DB3C868" w14:textId="2F8D239C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01-2018</w:t>
                  </w:r>
                </w:p>
              </w:tc>
              <w:tc>
                <w:tcPr>
                  <w:tcW w:w="13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161033C" w14:textId="64970AA1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04-2021</w:t>
                  </w:r>
                </w:p>
              </w:tc>
              <w:tc>
                <w:tcPr>
                  <w:tcW w:w="182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21942AB2" w14:textId="33C0B296" w:rsidR="44E0F867" w:rsidRPr="00496FEF" w:rsidRDefault="00EE722B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Osiągnięto</w:t>
                  </w:r>
                </w:p>
                <w:p w14:paraId="63D0D60C" w14:textId="0822B24F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00496FEF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opóźnienie wynika z przedłużających się procedur o udzielenie zamówienia publicznego</w:t>
                  </w: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 xml:space="preserve"> </w:t>
                  </w:r>
                </w:p>
              </w:tc>
            </w:tr>
            <w:tr w:rsidR="44E0F867" w14:paraId="3A456091" w14:textId="77777777" w:rsidTr="007F7E61">
              <w:tc>
                <w:tcPr>
                  <w:tcW w:w="157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56B77E0" w14:textId="5F25CB4C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Wybór wykonawców usług datowania C14</w:t>
                  </w:r>
                </w:p>
              </w:tc>
              <w:tc>
                <w:tcPr>
                  <w:tcW w:w="13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2131F1A0" w14:textId="29794E76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01-2018</w:t>
                  </w:r>
                </w:p>
              </w:tc>
              <w:tc>
                <w:tcPr>
                  <w:tcW w:w="13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0B0CFB7" w14:textId="2CE4C93C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07-2018</w:t>
                  </w:r>
                </w:p>
              </w:tc>
              <w:tc>
                <w:tcPr>
                  <w:tcW w:w="182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1A3E8D34" w14:textId="36196640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Osiągnięto</w:t>
                  </w:r>
                </w:p>
                <w:p w14:paraId="4F4C85EA" w14:textId="361F305B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 xml:space="preserve">opóźnienie wynikało z przedłużających się procedur o udzielenie zamówienia publicznego. </w:t>
                  </w:r>
                </w:p>
              </w:tc>
            </w:tr>
            <w:tr w:rsidR="44E0F867" w14:paraId="28C413ED" w14:textId="77777777" w:rsidTr="007F7E61">
              <w:tc>
                <w:tcPr>
                  <w:tcW w:w="157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55377C53" w14:textId="3C861ECC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Datowanie C14</w:t>
                  </w:r>
                </w:p>
              </w:tc>
              <w:tc>
                <w:tcPr>
                  <w:tcW w:w="130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14:paraId="0A609069" w14:textId="3B4C4D59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11-2019</w:t>
                  </w:r>
                </w:p>
              </w:tc>
              <w:tc>
                <w:tcPr>
                  <w:tcW w:w="13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E2B88AB" w14:textId="2C08BB9F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03-2021</w:t>
                  </w:r>
                </w:p>
              </w:tc>
              <w:tc>
                <w:tcPr>
                  <w:tcW w:w="182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F030A9A" w14:textId="4647068A" w:rsidR="44E0F867" w:rsidRPr="00AF538A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00AF538A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osiągnięto.</w:t>
                  </w:r>
                </w:p>
                <w:p w14:paraId="04032178" w14:textId="6BB9B32B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Opóźnienie spowodowane przedłużającymi się procedurami przetargowymi oraz gorszą niż zakładano jakością materiału osteologicznego</w:t>
                  </w:r>
                </w:p>
                <w:p w14:paraId="344527A0" w14:textId="34D5DD60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 xml:space="preserve"> </w:t>
                  </w:r>
                </w:p>
                <w:p w14:paraId="6ACEBE45" w14:textId="657EB580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 xml:space="preserve"> </w:t>
                  </w:r>
                </w:p>
                <w:p w14:paraId="3F0CEE3D" w14:textId="02F27292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 xml:space="preserve"> </w:t>
                  </w:r>
                </w:p>
              </w:tc>
            </w:tr>
            <w:tr w:rsidR="44E0F867" w14:paraId="367B385D" w14:textId="77777777" w:rsidTr="007F7E61">
              <w:tc>
                <w:tcPr>
                  <w:tcW w:w="157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0B8E8C76" w14:textId="20864233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 xml:space="preserve">Izolacja </w:t>
                  </w:r>
                  <w:proofErr w:type="spellStart"/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aDNA</w:t>
                  </w:r>
                  <w:proofErr w:type="spellEnd"/>
                </w:p>
              </w:tc>
              <w:tc>
                <w:tcPr>
                  <w:tcW w:w="13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8694F36" w14:textId="33FC8CD1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11-2020</w:t>
                  </w:r>
                </w:p>
              </w:tc>
              <w:tc>
                <w:tcPr>
                  <w:tcW w:w="13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91C81DE" w14:textId="7592EC72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03-2021</w:t>
                  </w:r>
                </w:p>
              </w:tc>
              <w:tc>
                <w:tcPr>
                  <w:tcW w:w="182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10647EE8" w14:textId="6D1C8F5E" w:rsidR="44E0F867" w:rsidRPr="00AF538A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00AF538A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Osiągnięto</w:t>
                  </w:r>
                </w:p>
                <w:p w14:paraId="7B024E71" w14:textId="3A34C0D9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 xml:space="preserve">Opóźnienie spowodowane gorszą niż zakładano jakością materiału – niezbędne było wykonanie większej liczby </w:t>
                  </w:r>
                  <w:proofErr w:type="gramStart"/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izolacji</w:t>
                  </w:r>
                  <w:proofErr w:type="gramEnd"/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 xml:space="preserve"> aby uzyskać zakładaną jakość danych.</w:t>
                  </w:r>
                </w:p>
              </w:tc>
            </w:tr>
            <w:tr w:rsidR="44E0F867" w14:paraId="43D83016" w14:textId="77777777" w:rsidTr="007F7E61">
              <w:tc>
                <w:tcPr>
                  <w:tcW w:w="157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2205DADE" w14:textId="04B0929F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Cyfryzacja zasobów nauki (osteologicznych i fotograficznych oraz dokumentacji archeologicznej)</w:t>
                  </w:r>
                </w:p>
              </w:tc>
              <w:tc>
                <w:tcPr>
                  <w:tcW w:w="13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26CE7FA9" w14:textId="0FBD881F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01-2021</w:t>
                  </w:r>
                </w:p>
              </w:tc>
              <w:tc>
                <w:tcPr>
                  <w:tcW w:w="13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0C64CFD7" w14:textId="7AA561A7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04-2021</w:t>
                  </w:r>
                </w:p>
              </w:tc>
              <w:tc>
                <w:tcPr>
                  <w:tcW w:w="182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E239D9D" w14:textId="5D04C158" w:rsidR="44E0F867" w:rsidRPr="00AF538A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00AF538A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Osiągnięto</w:t>
                  </w:r>
                </w:p>
                <w:p w14:paraId="575A48E8" w14:textId="3465A4C8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 xml:space="preserve"> </w:t>
                  </w:r>
                  <w:r w:rsidR="00AF538A"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Opóźnienie spowodowane</w:t>
                  </w:r>
                </w:p>
                <w:p w14:paraId="4B98854F" w14:textId="42F9E505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Przedłużony</w:t>
                  </w:r>
                  <w:r w:rsidR="00AF538A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m</w:t>
                  </w: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 xml:space="preserve"> czas</w:t>
                  </w:r>
                  <w:r w:rsidR="00AF538A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em</w:t>
                  </w: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 xml:space="preserve"> oczekiwani</w:t>
                  </w:r>
                  <w:r w:rsidR="00AF538A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a</w:t>
                  </w: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 xml:space="preserve"> na dane z izolacji DNA.</w:t>
                  </w:r>
                </w:p>
              </w:tc>
            </w:tr>
            <w:tr w:rsidR="44E0F867" w14:paraId="5ED86AB0" w14:textId="77777777" w:rsidTr="007F7E61">
              <w:tc>
                <w:tcPr>
                  <w:tcW w:w="157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B81E197" w14:textId="479C90E5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Tworzenie bazy danych łączącej informacje - historyczne, archeologiczne, morfologiczne, genetyczne</w:t>
                  </w:r>
                </w:p>
              </w:tc>
              <w:tc>
                <w:tcPr>
                  <w:tcW w:w="13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50794981" w14:textId="545313DB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02-2021</w:t>
                  </w:r>
                </w:p>
              </w:tc>
              <w:tc>
                <w:tcPr>
                  <w:tcW w:w="13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08F71E0" w14:textId="7E78CDE1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03-2021</w:t>
                  </w:r>
                </w:p>
              </w:tc>
              <w:tc>
                <w:tcPr>
                  <w:tcW w:w="182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05EC2BE2" w14:textId="33024E2C" w:rsidR="44E0F867" w:rsidRPr="00AF538A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00AF538A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Osiągnięto</w:t>
                  </w:r>
                </w:p>
                <w:p w14:paraId="0B576C76" w14:textId="1F59720F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 xml:space="preserve"> </w:t>
                  </w:r>
                </w:p>
                <w:p w14:paraId="696C03E8" w14:textId="7D1FF717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Przedłużony czas oczekiwanie na dane z izolacji DNA.</w:t>
                  </w:r>
                </w:p>
              </w:tc>
            </w:tr>
            <w:tr w:rsidR="44E0F867" w14:paraId="7A399475" w14:textId="77777777" w:rsidTr="007F7E61">
              <w:tc>
                <w:tcPr>
                  <w:tcW w:w="157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1DD08894" w14:textId="7405F463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Publikacja danych na platformie e-Czlowiek.pl</w:t>
                  </w:r>
                </w:p>
              </w:tc>
              <w:tc>
                <w:tcPr>
                  <w:tcW w:w="13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40DC753" w14:textId="44ED69A7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04-2021</w:t>
                  </w:r>
                </w:p>
              </w:tc>
              <w:tc>
                <w:tcPr>
                  <w:tcW w:w="13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4F0A358" w14:textId="684A254C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04-2021</w:t>
                  </w:r>
                </w:p>
              </w:tc>
              <w:tc>
                <w:tcPr>
                  <w:tcW w:w="182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03760D7" w14:textId="72DCD85A" w:rsidR="44E0F867" w:rsidRPr="00AF538A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00AF538A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Osiągnięto</w:t>
                  </w:r>
                </w:p>
              </w:tc>
            </w:tr>
            <w:tr w:rsidR="44E0F867" w14:paraId="64E21528" w14:textId="77777777" w:rsidTr="007F7E61">
              <w:tc>
                <w:tcPr>
                  <w:tcW w:w="157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545E5E79" w14:textId="25485B04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lastRenderedPageBreak/>
                    <w:t>Zakup sprzętu i materiałów na potrzeby cyfryzacji</w:t>
                  </w:r>
                </w:p>
              </w:tc>
              <w:tc>
                <w:tcPr>
                  <w:tcW w:w="13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88F01BE" w14:textId="078DF0A7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01-2018</w:t>
                  </w:r>
                </w:p>
              </w:tc>
              <w:tc>
                <w:tcPr>
                  <w:tcW w:w="13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287E30D" w14:textId="686CD3E6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10-2018</w:t>
                  </w:r>
                </w:p>
              </w:tc>
              <w:tc>
                <w:tcPr>
                  <w:tcW w:w="182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5F4D464F" w14:textId="19D9E4F6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Osiągnięto</w:t>
                  </w:r>
                </w:p>
                <w:p w14:paraId="6A03D696" w14:textId="64BFF1AC" w:rsidR="00AF538A" w:rsidRDefault="44E0F867" w:rsidP="00AF538A">
                  <w:pPr>
                    <w:jc w:val="both"/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opóźnienie wynikało</w:t>
                  </w:r>
                  <w:r w:rsidR="1E81FB48"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 xml:space="preserve"> </w:t>
                  </w: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 xml:space="preserve">z przedłużających się procedur o udzielenie zamówienia publicznego </w:t>
                  </w:r>
                </w:p>
                <w:p w14:paraId="78E6F260" w14:textId="623ACA67" w:rsidR="44E0F867" w:rsidRDefault="44E0F867" w:rsidP="44E0F867">
                  <w:pPr>
                    <w:jc w:val="both"/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</w:p>
              </w:tc>
            </w:tr>
            <w:tr w:rsidR="44E0F867" w14:paraId="3CC4EC4C" w14:textId="77777777" w:rsidTr="007F7E61">
              <w:tc>
                <w:tcPr>
                  <w:tcW w:w="157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C1B879E" w14:textId="2A37B4EC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k-</w:t>
                  </w:r>
                  <w:proofErr w:type="spellStart"/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anonimizacja</w:t>
                  </w:r>
                  <w:proofErr w:type="spellEnd"/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 xml:space="preserve"> danych, agregacja statystyk</w:t>
                  </w:r>
                </w:p>
              </w:tc>
              <w:tc>
                <w:tcPr>
                  <w:tcW w:w="13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63675A6" w14:textId="0128562C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04-2021</w:t>
                  </w:r>
                </w:p>
              </w:tc>
              <w:tc>
                <w:tcPr>
                  <w:tcW w:w="13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2DEA3F1F" w14:textId="0C6F557B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04-2021</w:t>
                  </w:r>
                </w:p>
              </w:tc>
              <w:tc>
                <w:tcPr>
                  <w:tcW w:w="182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759AB05C" w14:textId="77F8EAB3" w:rsidR="44E0F867" w:rsidRPr="00AF538A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00AF538A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Osiągnięto</w:t>
                  </w:r>
                </w:p>
              </w:tc>
            </w:tr>
            <w:tr w:rsidR="44E0F867" w14:paraId="2CB0BF6D" w14:textId="77777777" w:rsidTr="007F7E61">
              <w:tc>
                <w:tcPr>
                  <w:tcW w:w="157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2620D53F" w14:textId="6A5CAF03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Przygotowanie danych dotyczących SNP i powiązanych z nimi danych fenotypowych do publikacji</w:t>
                  </w:r>
                </w:p>
              </w:tc>
              <w:tc>
                <w:tcPr>
                  <w:tcW w:w="130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14:paraId="36C5A577" w14:textId="7F045CE3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04-2021</w:t>
                  </w:r>
                </w:p>
              </w:tc>
              <w:tc>
                <w:tcPr>
                  <w:tcW w:w="13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7B3B20B1" w14:textId="3FC3A696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03-2021</w:t>
                  </w:r>
                </w:p>
              </w:tc>
              <w:tc>
                <w:tcPr>
                  <w:tcW w:w="182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B2B3AAC" w14:textId="557C588D" w:rsidR="44E0F867" w:rsidRPr="00AF538A" w:rsidRDefault="00AF538A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O</w:t>
                  </w:r>
                  <w:r w:rsidR="44E0F867" w:rsidRPr="00AF538A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siągnięto</w:t>
                  </w:r>
                </w:p>
              </w:tc>
            </w:tr>
            <w:tr w:rsidR="44E0F867" w14:paraId="4621C2D1" w14:textId="77777777" w:rsidTr="007F7E61">
              <w:tc>
                <w:tcPr>
                  <w:tcW w:w="157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1DAC5CE3" w14:textId="09BDCE2E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Cyfryzacja DNA grupy 1000 ochotników</w:t>
                  </w:r>
                </w:p>
              </w:tc>
              <w:tc>
                <w:tcPr>
                  <w:tcW w:w="13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43A577A" w14:textId="52A8388A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11-2020</w:t>
                  </w:r>
                </w:p>
              </w:tc>
              <w:tc>
                <w:tcPr>
                  <w:tcW w:w="13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62FEE15" w14:textId="14D91A64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03-2021</w:t>
                  </w:r>
                </w:p>
              </w:tc>
              <w:tc>
                <w:tcPr>
                  <w:tcW w:w="182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03E34A18" w14:textId="66DD352C" w:rsidR="44E0F867" w:rsidRPr="00AF538A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00AF538A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Osiągnięto</w:t>
                  </w:r>
                </w:p>
                <w:p w14:paraId="14A0CF91" w14:textId="7D8E86A3" w:rsidR="69A336C9" w:rsidRDefault="69A336C9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00AF538A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Przedłużające</w:t>
                  </w: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 xml:space="preserve"> się prace laboratoryjne</w:t>
                  </w:r>
                  <w:r w:rsidR="48F5A962"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 xml:space="preserve"> – w celu uzyskania danych o odpowiedniej jakości.</w:t>
                  </w:r>
                </w:p>
              </w:tc>
            </w:tr>
            <w:tr w:rsidR="44E0F867" w14:paraId="7C05D6DF" w14:textId="77777777" w:rsidTr="007F7E61">
              <w:tc>
                <w:tcPr>
                  <w:tcW w:w="157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745A4AB0" w14:textId="79D5556C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Publikacja danych na łamach e-Czlowiek.pl</w:t>
                  </w:r>
                </w:p>
              </w:tc>
              <w:tc>
                <w:tcPr>
                  <w:tcW w:w="13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68C216D" w14:textId="2C8EAC9E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04-2021</w:t>
                  </w:r>
                </w:p>
              </w:tc>
              <w:tc>
                <w:tcPr>
                  <w:tcW w:w="13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0B84730D" w14:textId="7734261D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04-2021</w:t>
                  </w:r>
                </w:p>
              </w:tc>
              <w:tc>
                <w:tcPr>
                  <w:tcW w:w="182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72DC5A9A" w14:textId="5FE8665C" w:rsidR="44E0F867" w:rsidRPr="00AF538A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00AF538A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Osiągnięto</w:t>
                  </w:r>
                </w:p>
              </w:tc>
            </w:tr>
            <w:tr w:rsidR="44E0F867" w14:paraId="1F56B9CF" w14:textId="77777777" w:rsidTr="007F7E61">
              <w:tc>
                <w:tcPr>
                  <w:tcW w:w="157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7D44DA20" w14:textId="25486D41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Przygotowanie studium wykonalności projektu</w:t>
                  </w:r>
                </w:p>
              </w:tc>
              <w:tc>
                <w:tcPr>
                  <w:tcW w:w="13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CF01B27" w14:textId="44950CD9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05-2017</w:t>
                  </w:r>
                </w:p>
              </w:tc>
              <w:tc>
                <w:tcPr>
                  <w:tcW w:w="13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01052F9C" w14:textId="726932BB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05-2017</w:t>
                  </w:r>
                </w:p>
              </w:tc>
              <w:tc>
                <w:tcPr>
                  <w:tcW w:w="182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102DF690" w14:textId="0A2A5EA5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Osiągnięto</w:t>
                  </w:r>
                </w:p>
              </w:tc>
            </w:tr>
            <w:tr w:rsidR="44E0F867" w14:paraId="763C4F0A" w14:textId="77777777" w:rsidTr="007F7E61">
              <w:tc>
                <w:tcPr>
                  <w:tcW w:w="157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A4921B3" w14:textId="7918C0E0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Sukcesywna promocja założeń i rezultatów projektu</w:t>
                  </w:r>
                </w:p>
              </w:tc>
              <w:tc>
                <w:tcPr>
                  <w:tcW w:w="13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7A705C14" w14:textId="1E5E0498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04-2022</w:t>
                  </w:r>
                </w:p>
              </w:tc>
              <w:tc>
                <w:tcPr>
                  <w:tcW w:w="13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71C8E0C" w14:textId="4BE5ECB0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 xml:space="preserve"> </w:t>
                  </w:r>
                </w:p>
              </w:tc>
              <w:tc>
                <w:tcPr>
                  <w:tcW w:w="182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69ED3EB" w14:textId="754DFB1B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W trakcie realizacji</w:t>
                  </w:r>
                </w:p>
              </w:tc>
            </w:tr>
            <w:tr w:rsidR="44E0F867" w14:paraId="03BDA6C7" w14:textId="77777777" w:rsidTr="007F7E61">
              <w:tc>
                <w:tcPr>
                  <w:tcW w:w="157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D402191" w14:textId="14E1E93D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Zakup wyposażenia biurowego i laboratoryjnego na potrzeby przygotowania nowej lokalizacji.</w:t>
                  </w:r>
                </w:p>
              </w:tc>
              <w:tc>
                <w:tcPr>
                  <w:tcW w:w="13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245FF819" w14:textId="54484D48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10-2020</w:t>
                  </w:r>
                </w:p>
              </w:tc>
              <w:tc>
                <w:tcPr>
                  <w:tcW w:w="139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801882F" w14:textId="16BDE589" w:rsidR="44E0F867" w:rsidRDefault="44E0F867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03-202</w:t>
                  </w:r>
                  <w:r w:rsidR="28481BFB" w:rsidRPr="44E0F867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1</w:t>
                  </w:r>
                </w:p>
              </w:tc>
              <w:tc>
                <w:tcPr>
                  <w:tcW w:w="182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23FC9A98" w14:textId="3A5F061C" w:rsidR="28481BFB" w:rsidRPr="00AF538A" w:rsidRDefault="28481BFB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00AF538A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O</w:t>
                  </w:r>
                  <w:r w:rsidR="44E0F867" w:rsidRPr="00AF538A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siągnięto</w:t>
                  </w:r>
                  <w:r w:rsidR="079A8E94" w:rsidRPr="00AF538A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 xml:space="preserve"> - </w:t>
                  </w:r>
                </w:p>
                <w:p w14:paraId="5597E63C" w14:textId="198CAA96" w:rsidR="079A8E94" w:rsidRPr="00AF538A" w:rsidRDefault="079A8E94" w:rsidP="44E0F867">
                  <w:pPr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</w:pPr>
                  <w:r w:rsidRPr="00AF538A">
                    <w:rPr>
                      <w:rFonts w:eastAsiaTheme="minorEastAsia"/>
                      <w:color w:val="000000" w:themeColor="text1"/>
                      <w:sz w:val="18"/>
                      <w:szCs w:val="18"/>
                      <w:lang w:val="pl"/>
                    </w:rPr>
                    <w:t>Przedłużający się montaż mebli biurowych – problemy wykonawcy związane z pandemią COVID-19</w:t>
                  </w:r>
                </w:p>
              </w:tc>
            </w:tr>
          </w:tbl>
          <w:p w14:paraId="7AEFA7AE" w14:textId="77777777" w:rsidR="002450C4" w:rsidRDefault="002450C4" w:rsidP="009D3D41">
            <w:pPr>
              <w:jc w:val="both"/>
              <w:rPr>
                <w:i/>
                <w:sz w:val="18"/>
                <w:szCs w:val="20"/>
              </w:rPr>
            </w:pPr>
          </w:p>
          <w:p w14:paraId="6867BCB2" w14:textId="17D84797" w:rsidR="00EE722B" w:rsidRDefault="00190579" w:rsidP="007F7E61">
            <w:pPr>
              <w:pStyle w:val="Tablecaption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wyniku realizacji projektu powstały następujące produkt</w:t>
            </w:r>
            <w:r w:rsidRPr="00190579">
              <w:rPr>
                <w:b/>
                <w:bCs/>
                <w:sz w:val="18"/>
                <w:szCs w:val="18"/>
              </w:rPr>
              <w:t>y</w:t>
            </w:r>
            <w:r w:rsidR="007F7E61" w:rsidRPr="00190579">
              <w:rPr>
                <w:b/>
                <w:bCs/>
                <w:sz w:val="18"/>
                <w:szCs w:val="18"/>
              </w:rPr>
              <w:t>:</w:t>
            </w:r>
            <w:r w:rsidR="008029FD">
              <w:rPr>
                <w:b/>
                <w:bCs/>
                <w:sz w:val="18"/>
                <w:szCs w:val="18"/>
              </w:rPr>
              <w:t xml:space="preserve"> </w:t>
            </w:r>
          </w:p>
          <w:p w14:paraId="5F3F3476" w14:textId="16CC6D15" w:rsidR="0051364F" w:rsidRDefault="0051364F" w:rsidP="007F7E61">
            <w:pPr>
              <w:pStyle w:val="Tablecaption0"/>
              <w:rPr>
                <w:b/>
                <w:bCs/>
                <w:sz w:val="18"/>
                <w:szCs w:val="18"/>
              </w:rPr>
            </w:pPr>
          </w:p>
          <w:p w14:paraId="3B818CC8" w14:textId="71D27117" w:rsidR="0051364F" w:rsidRDefault="0051364F" w:rsidP="007F7E61">
            <w:pPr>
              <w:pStyle w:val="Tablecaption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Platforma informacyjna e-czlowiek.pl – popularno-naukowy portal internetowy przybliżający zagadnienia związane z nauką w szczególności antropologią i genetyką. Za pomocą platformy można również uzyskać dostęp do repozytoriów zasobów naukowych.</w:t>
            </w:r>
          </w:p>
          <w:p w14:paraId="21E9101A" w14:textId="051B6F25" w:rsidR="0051364F" w:rsidRDefault="0051364F" w:rsidP="007F7E61">
            <w:pPr>
              <w:pStyle w:val="Tablecaption0"/>
              <w:rPr>
                <w:rFonts w:ascii="Arial" w:hAnsi="Arial" w:cs="Arial"/>
                <w:sz w:val="18"/>
                <w:szCs w:val="18"/>
              </w:rPr>
            </w:pPr>
          </w:p>
          <w:p w14:paraId="08838CAD" w14:textId="0481D6BA" w:rsidR="0051364F" w:rsidRDefault="0051364F" w:rsidP="007F7E61">
            <w:pPr>
              <w:pStyle w:val="Tablecaption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kolekcje:</w:t>
            </w:r>
          </w:p>
          <w:p w14:paraId="04173FF7" w14:textId="0AFDA885" w:rsidR="0051364F" w:rsidRDefault="0051364F" w:rsidP="007F7E61">
            <w:pPr>
              <w:pStyle w:val="Tablecaption0"/>
              <w:rPr>
                <w:rFonts w:ascii="Arial" w:hAnsi="Arial" w:cs="Arial"/>
                <w:sz w:val="18"/>
                <w:szCs w:val="18"/>
              </w:rPr>
            </w:pPr>
          </w:p>
          <w:p w14:paraId="3007B062" w14:textId="77777777" w:rsidR="0051364F" w:rsidRPr="0051364F" w:rsidRDefault="0051364F" w:rsidP="0051364F">
            <w:pPr>
              <w:pStyle w:val="Tablecaption0"/>
              <w:rPr>
                <w:rFonts w:ascii="Arial" w:hAnsi="Arial" w:cs="Arial"/>
                <w:sz w:val="18"/>
                <w:szCs w:val="18"/>
              </w:rPr>
            </w:pPr>
            <w:r w:rsidRPr="0051364F">
              <w:rPr>
                <w:rFonts w:ascii="Arial" w:hAnsi="Arial" w:cs="Arial"/>
                <w:sz w:val="18"/>
                <w:szCs w:val="18"/>
              </w:rPr>
              <w:t xml:space="preserve">Kolekcja POPULOUS ponad. 7000 </w:t>
            </w:r>
            <w:proofErr w:type="gramStart"/>
            <w:r w:rsidRPr="0051364F">
              <w:rPr>
                <w:rFonts w:ascii="Arial" w:hAnsi="Arial" w:cs="Arial"/>
                <w:sz w:val="18"/>
                <w:szCs w:val="18"/>
              </w:rPr>
              <w:t>dawców  (</w:t>
            </w:r>
            <w:proofErr w:type="gramEnd"/>
            <w:r w:rsidRPr="0051364F">
              <w:rPr>
                <w:rFonts w:ascii="Arial" w:hAnsi="Arial" w:cs="Arial"/>
                <w:sz w:val="18"/>
                <w:szCs w:val="18"/>
              </w:rPr>
              <w:t>Polimorfizmy oraz dane ankietowe)</w:t>
            </w:r>
          </w:p>
          <w:p w14:paraId="32067D43" w14:textId="16B6B300" w:rsidR="0051364F" w:rsidRPr="0051364F" w:rsidRDefault="0051364F" w:rsidP="0051364F">
            <w:pPr>
              <w:pStyle w:val="Tablecaption0"/>
              <w:rPr>
                <w:rFonts w:ascii="Arial" w:hAnsi="Arial" w:cs="Arial"/>
                <w:sz w:val="18"/>
                <w:szCs w:val="18"/>
              </w:rPr>
            </w:pPr>
            <w:r w:rsidRPr="0051364F">
              <w:rPr>
                <w:rFonts w:ascii="Arial" w:hAnsi="Arial" w:cs="Arial"/>
                <w:sz w:val="18"/>
                <w:szCs w:val="18"/>
              </w:rPr>
              <w:t>Fragment Kolekcji osteologicznej 200 osobn</w:t>
            </w:r>
            <w:r>
              <w:rPr>
                <w:rFonts w:ascii="Arial" w:hAnsi="Arial" w:cs="Arial"/>
                <w:sz w:val="18"/>
                <w:szCs w:val="18"/>
              </w:rPr>
              <w:t>ików (Dane Genetyczne, Skany 3D)</w:t>
            </w:r>
          </w:p>
          <w:p w14:paraId="3E004F21" w14:textId="77777777" w:rsidR="0051364F" w:rsidRPr="0051364F" w:rsidRDefault="0051364F" w:rsidP="0051364F">
            <w:pPr>
              <w:pStyle w:val="Tablecaption0"/>
              <w:rPr>
                <w:rFonts w:ascii="Arial" w:hAnsi="Arial" w:cs="Arial"/>
                <w:sz w:val="18"/>
                <w:szCs w:val="18"/>
              </w:rPr>
            </w:pPr>
            <w:r w:rsidRPr="0051364F">
              <w:rPr>
                <w:rFonts w:ascii="Arial" w:hAnsi="Arial" w:cs="Arial"/>
                <w:sz w:val="18"/>
                <w:szCs w:val="18"/>
              </w:rPr>
              <w:t>Kolekcja PANC ok. 80 dawców (</w:t>
            </w:r>
            <w:proofErr w:type="spellStart"/>
            <w:r w:rsidRPr="0051364F">
              <w:rPr>
                <w:rFonts w:ascii="Arial" w:hAnsi="Arial" w:cs="Arial"/>
                <w:sz w:val="18"/>
                <w:szCs w:val="18"/>
              </w:rPr>
              <w:t>egzomy</w:t>
            </w:r>
            <w:proofErr w:type="spellEnd"/>
            <w:r w:rsidRPr="0051364F">
              <w:rPr>
                <w:rFonts w:ascii="Arial" w:hAnsi="Arial" w:cs="Arial"/>
                <w:sz w:val="18"/>
                <w:szCs w:val="18"/>
              </w:rPr>
              <w:t xml:space="preserve">, dane </w:t>
            </w:r>
            <w:proofErr w:type="spellStart"/>
            <w:r w:rsidRPr="0051364F">
              <w:rPr>
                <w:rFonts w:ascii="Arial" w:hAnsi="Arial" w:cs="Arial"/>
                <w:sz w:val="18"/>
                <w:szCs w:val="18"/>
              </w:rPr>
              <w:t>anketowe</w:t>
            </w:r>
            <w:proofErr w:type="spellEnd"/>
            <w:r w:rsidRPr="0051364F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4036BC3A" w14:textId="2CE86C06" w:rsidR="0051364F" w:rsidRDefault="0051364F" w:rsidP="0051364F">
            <w:pPr>
              <w:pStyle w:val="Tablecaption0"/>
              <w:rPr>
                <w:rFonts w:ascii="Arial" w:hAnsi="Arial" w:cs="Arial"/>
                <w:sz w:val="18"/>
                <w:szCs w:val="18"/>
              </w:rPr>
            </w:pPr>
            <w:r w:rsidRPr="0051364F">
              <w:rPr>
                <w:rFonts w:ascii="Arial" w:hAnsi="Arial" w:cs="Arial"/>
                <w:sz w:val="18"/>
                <w:szCs w:val="18"/>
              </w:rPr>
              <w:t>Archiwalia związane z pracami archeologicznymi prowadzonymi w rejonie Brześcia Kujawskiego.</w:t>
            </w:r>
          </w:p>
          <w:p w14:paraId="073A1664" w14:textId="77777777" w:rsidR="0051364F" w:rsidRDefault="0051364F" w:rsidP="007F7E61">
            <w:pPr>
              <w:pStyle w:val="Tablecaption0"/>
              <w:rPr>
                <w:b/>
                <w:bCs/>
                <w:sz w:val="18"/>
                <w:szCs w:val="18"/>
              </w:rPr>
            </w:pPr>
          </w:p>
          <w:p w14:paraId="2DF6F57E" w14:textId="77777777" w:rsidR="00EE722B" w:rsidRDefault="00EE722B" w:rsidP="007F7E61">
            <w:pPr>
              <w:pStyle w:val="Tablecaption0"/>
              <w:rPr>
                <w:sz w:val="18"/>
                <w:szCs w:val="18"/>
              </w:rPr>
            </w:pPr>
          </w:p>
          <w:p w14:paraId="0B649144" w14:textId="1CD01A8B" w:rsidR="007F7E61" w:rsidRPr="00554E6C" w:rsidRDefault="007F7E61" w:rsidP="009D3D41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4D135D" w:rsidRPr="002450C4" w14:paraId="0DC7C92D" w14:textId="77777777" w:rsidTr="44E0F867">
        <w:tc>
          <w:tcPr>
            <w:tcW w:w="480" w:type="dxa"/>
          </w:tcPr>
          <w:p w14:paraId="5A39BBE3" w14:textId="77777777" w:rsidR="004D135D" w:rsidRPr="002450C4" w:rsidRDefault="004D135D" w:rsidP="007A0A3D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5D84EBA1" w14:textId="77777777" w:rsidR="004D135D" w:rsidRDefault="004D135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dla obywateli i przedsiębiorców</w:t>
            </w:r>
          </w:p>
        </w:tc>
        <w:tc>
          <w:tcPr>
            <w:tcW w:w="6232" w:type="dxa"/>
          </w:tcPr>
          <w:p w14:paraId="28256CBA" w14:textId="77777777" w:rsidR="00554E6C" w:rsidRDefault="00554E6C" w:rsidP="44E0F867">
            <w:pPr>
              <w:rPr>
                <w:sz w:val="18"/>
                <w:szCs w:val="18"/>
              </w:rPr>
            </w:pPr>
            <w:r w:rsidRPr="44E0F867">
              <w:rPr>
                <w:sz w:val="18"/>
                <w:szCs w:val="18"/>
              </w:rPr>
              <w:t>NIE DOTYCZY</w:t>
            </w:r>
          </w:p>
          <w:p w14:paraId="41C8F396" w14:textId="77777777" w:rsidR="004D135D" w:rsidRDefault="004D135D" w:rsidP="00E30008">
            <w:pPr>
              <w:rPr>
                <w:bCs/>
                <w:i/>
                <w:sz w:val="18"/>
                <w:szCs w:val="20"/>
              </w:rPr>
            </w:pPr>
          </w:p>
        </w:tc>
      </w:tr>
      <w:tr w:rsidR="00920CE8" w:rsidRPr="002450C4" w14:paraId="12DA35BD" w14:textId="77777777" w:rsidTr="44E0F867">
        <w:tc>
          <w:tcPr>
            <w:tcW w:w="480" w:type="dxa"/>
          </w:tcPr>
          <w:p w14:paraId="72A3D3EC" w14:textId="77777777" w:rsidR="00920CE8" w:rsidRPr="002450C4" w:rsidRDefault="00920CE8" w:rsidP="007A0A3D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1D78B478" w14:textId="77777777" w:rsidR="00920CE8" w:rsidRPr="002450C4" w:rsidRDefault="00920CE8" w:rsidP="0092099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w realizacji strategicznych celów Państwa</w:t>
            </w:r>
          </w:p>
        </w:tc>
        <w:tc>
          <w:tcPr>
            <w:tcW w:w="6232" w:type="dxa"/>
          </w:tcPr>
          <w:p w14:paraId="1B9CAA11" w14:textId="6E551372" w:rsidR="1A06455D" w:rsidRDefault="1A06455D" w:rsidP="44E0F867">
            <w:pPr>
              <w:jc w:val="both"/>
              <w:rPr>
                <w:sz w:val="18"/>
                <w:szCs w:val="18"/>
              </w:rPr>
            </w:pPr>
            <w:r w:rsidRPr="44E0F867">
              <w:rPr>
                <w:sz w:val="18"/>
                <w:szCs w:val="18"/>
              </w:rPr>
              <w:t xml:space="preserve">Realizacja </w:t>
            </w:r>
            <w:r w:rsidR="0CAA2F63" w:rsidRPr="44E0F867">
              <w:rPr>
                <w:sz w:val="18"/>
                <w:szCs w:val="18"/>
              </w:rPr>
              <w:t>Projekt</w:t>
            </w:r>
            <w:r w:rsidR="0750A736" w:rsidRPr="44E0F867">
              <w:rPr>
                <w:sz w:val="18"/>
                <w:szCs w:val="18"/>
              </w:rPr>
              <w:t>u</w:t>
            </w:r>
            <w:r w:rsidR="0CAA2F63" w:rsidRPr="44E0F867">
              <w:rPr>
                <w:sz w:val="18"/>
                <w:szCs w:val="18"/>
              </w:rPr>
              <w:t xml:space="preserve"> umożliwił</w:t>
            </w:r>
            <w:r w:rsidR="3BB892C2" w:rsidRPr="44E0F867">
              <w:rPr>
                <w:sz w:val="18"/>
                <w:szCs w:val="18"/>
              </w:rPr>
              <w:t>a</w:t>
            </w:r>
            <w:r w:rsidR="0CAA2F63" w:rsidRPr="44E0F867">
              <w:rPr>
                <w:sz w:val="18"/>
                <w:szCs w:val="18"/>
              </w:rPr>
              <w:t xml:space="preserve"> wytworzenie rzetelnej genotypowej bazy danych opartej na populacji Polski.</w:t>
            </w:r>
            <w:r w:rsidR="3F22ACF1" w:rsidRPr="44E0F867">
              <w:rPr>
                <w:sz w:val="18"/>
                <w:szCs w:val="18"/>
              </w:rPr>
              <w:t xml:space="preserve"> </w:t>
            </w:r>
            <w:r w:rsidR="046D5854" w:rsidRPr="44E0F867">
              <w:rPr>
                <w:sz w:val="18"/>
                <w:szCs w:val="18"/>
              </w:rPr>
              <w:t>P</w:t>
            </w:r>
            <w:r w:rsidR="3F22ACF1" w:rsidRPr="44E0F867">
              <w:rPr>
                <w:sz w:val="18"/>
                <w:szCs w:val="18"/>
              </w:rPr>
              <w:t>ozwoliła</w:t>
            </w:r>
            <w:r w:rsidR="431DFADE" w:rsidRPr="44E0F867">
              <w:rPr>
                <w:sz w:val="18"/>
                <w:szCs w:val="18"/>
              </w:rPr>
              <w:t xml:space="preserve"> również</w:t>
            </w:r>
            <w:r w:rsidR="3F22ACF1" w:rsidRPr="44E0F867">
              <w:rPr>
                <w:sz w:val="18"/>
                <w:szCs w:val="18"/>
              </w:rPr>
              <w:t xml:space="preserve"> na rozwój</w:t>
            </w:r>
            <w:r w:rsidR="56B36E57" w:rsidRPr="44E0F867">
              <w:rPr>
                <w:sz w:val="18"/>
                <w:szCs w:val="18"/>
              </w:rPr>
              <w:t xml:space="preserve"> infrastruktury</w:t>
            </w:r>
            <w:r w:rsidR="3F22ACF1" w:rsidRPr="44E0F867">
              <w:rPr>
                <w:sz w:val="18"/>
                <w:szCs w:val="18"/>
              </w:rPr>
              <w:t xml:space="preserve"> dostęp</w:t>
            </w:r>
            <w:r w:rsidR="2E116649" w:rsidRPr="44E0F867">
              <w:rPr>
                <w:sz w:val="18"/>
                <w:szCs w:val="18"/>
              </w:rPr>
              <w:t>owej</w:t>
            </w:r>
            <w:r w:rsidR="3F22ACF1" w:rsidRPr="44E0F867">
              <w:rPr>
                <w:sz w:val="18"/>
                <w:szCs w:val="18"/>
              </w:rPr>
              <w:t xml:space="preserve"> do danych laboratoryjnych dla </w:t>
            </w:r>
            <w:r w:rsidR="122C24E4" w:rsidRPr="44E0F867">
              <w:rPr>
                <w:sz w:val="18"/>
                <w:szCs w:val="18"/>
              </w:rPr>
              <w:t>osób</w:t>
            </w:r>
            <w:r w:rsidR="619EF2AF" w:rsidRPr="44E0F867">
              <w:rPr>
                <w:sz w:val="18"/>
                <w:szCs w:val="18"/>
              </w:rPr>
              <w:t xml:space="preserve"> oraz jednostek zainteresowanych nimi, zwiększając potencjał naukowy w zakresie ogólnokrajowym.</w:t>
            </w:r>
          </w:p>
          <w:p w14:paraId="4ADE08CF" w14:textId="04870AB1" w:rsidR="453D4FEC" w:rsidRDefault="453D4FEC" w:rsidP="44E0F867">
            <w:pPr>
              <w:jc w:val="both"/>
              <w:rPr>
                <w:sz w:val="18"/>
                <w:szCs w:val="18"/>
              </w:rPr>
            </w:pPr>
            <w:r w:rsidRPr="44E0F867">
              <w:rPr>
                <w:sz w:val="18"/>
                <w:szCs w:val="18"/>
              </w:rPr>
              <w:t xml:space="preserve">Cele projektu, które zostały zrealizowane są jednocześnie wytycznymi strategii “Sprawne Państwo 2020”, </w:t>
            </w:r>
            <w:r w:rsidR="45C1820E" w:rsidRPr="44E0F867">
              <w:rPr>
                <w:sz w:val="18"/>
                <w:szCs w:val="18"/>
              </w:rPr>
              <w:t>“</w:t>
            </w:r>
            <w:r w:rsidR="1FAECBF5" w:rsidRPr="44E0F867">
              <w:rPr>
                <w:sz w:val="18"/>
                <w:szCs w:val="18"/>
              </w:rPr>
              <w:t>Strategii</w:t>
            </w:r>
            <w:r w:rsidR="45C1820E" w:rsidRPr="44E0F867">
              <w:rPr>
                <w:sz w:val="18"/>
                <w:szCs w:val="18"/>
              </w:rPr>
              <w:t xml:space="preserve"> na Rzecz Odpowiedzialnego Rozwoju”, które zakładają rozwój infrastruktury przetwarza</w:t>
            </w:r>
            <w:r w:rsidR="67620A41" w:rsidRPr="44E0F867">
              <w:rPr>
                <w:sz w:val="18"/>
                <w:szCs w:val="18"/>
              </w:rPr>
              <w:t>nia “big data” oraz poprawienia dostępu do danych sektora publicznego</w:t>
            </w:r>
            <w:r w:rsidR="00D56072">
              <w:rPr>
                <w:sz w:val="18"/>
                <w:szCs w:val="18"/>
              </w:rPr>
              <w:t xml:space="preserve"> </w:t>
            </w:r>
            <w:r w:rsidR="00122E5B">
              <w:rPr>
                <w:sz w:val="18"/>
                <w:szCs w:val="18"/>
              </w:rPr>
              <w:t xml:space="preserve">oraz budowę </w:t>
            </w:r>
            <w:r w:rsidR="00D56072">
              <w:rPr>
                <w:sz w:val="18"/>
                <w:szCs w:val="18"/>
              </w:rPr>
              <w:t>co zostało zrealizowane w ramach projektu</w:t>
            </w:r>
            <w:r w:rsidR="67620A41" w:rsidRPr="44E0F867">
              <w:rPr>
                <w:sz w:val="18"/>
                <w:szCs w:val="18"/>
              </w:rPr>
              <w:t>.</w:t>
            </w:r>
            <w:r w:rsidR="0D74FA27" w:rsidRPr="44E0F867">
              <w:rPr>
                <w:sz w:val="18"/>
                <w:szCs w:val="18"/>
              </w:rPr>
              <w:t xml:space="preserve"> </w:t>
            </w:r>
            <w:r w:rsidR="5F3E1610" w:rsidRPr="44E0F867">
              <w:rPr>
                <w:sz w:val="18"/>
                <w:szCs w:val="18"/>
              </w:rPr>
              <w:t>W Strategii na Rzecz Odpowiedzialnego rozwoju wskazano biotechnologię jako jedną z kluczowych kompetencji województwa Łódzkiego - projekt przy</w:t>
            </w:r>
            <w:r w:rsidR="595BB1CE" w:rsidRPr="44E0F867">
              <w:rPr>
                <w:sz w:val="18"/>
                <w:szCs w:val="18"/>
              </w:rPr>
              <w:t>czynił się do budowy kompetencji w/w zakresie</w:t>
            </w:r>
            <w:r w:rsidR="34621654" w:rsidRPr="44E0F867">
              <w:rPr>
                <w:sz w:val="18"/>
                <w:szCs w:val="18"/>
              </w:rPr>
              <w:t xml:space="preserve"> – Personel Beneficjenta maił możliwość pracy z wykorzystaniem najnowszej technologii sekwencjonowania DNA. Uzyskane umiejętności </w:t>
            </w:r>
            <w:r w:rsidR="371F7C4F" w:rsidRPr="44E0F867">
              <w:rPr>
                <w:sz w:val="18"/>
                <w:szCs w:val="18"/>
              </w:rPr>
              <w:t>wykorzystywane są w kolejnych projektach realizowanych przez Beneficjenta lub w ramach współpracy naukowej</w:t>
            </w:r>
            <w:r w:rsidR="1CD8854C" w:rsidRPr="44E0F867">
              <w:rPr>
                <w:sz w:val="18"/>
                <w:szCs w:val="18"/>
              </w:rPr>
              <w:t xml:space="preserve"> wspierane są inne ośrodki w Polsce.</w:t>
            </w:r>
          </w:p>
          <w:p w14:paraId="4BB1D4E2" w14:textId="77777777" w:rsidR="00122E5B" w:rsidRDefault="00122E5B" w:rsidP="44E0F867">
            <w:pPr>
              <w:jc w:val="both"/>
              <w:rPr>
                <w:sz w:val="18"/>
                <w:szCs w:val="18"/>
              </w:rPr>
            </w:pPr>
          </w:p>
          <w:p w14:paraId="31D54567" w14:textId="179E4C59" w:rsidR="0D74FA27" w:rsidRDefault="0D74FA27" w:rsidP="44E0F867">
            <w:pPr>
              <w:jc w:val="both"/>
              <w:rPr>
                <w:sz w:val="18"/>
                <w:szCs w:val="18"/>
              </w:rPr>
            </w:pPr>
            <w:r w:rsidRPr="44E0F867">
              <w:rPr>
                <w:sz w:val="18"/>
                <w:szCs w:val="18"/>
              </w:rPr>
              <w:t xml:space="preserve">Tworzenie ogólnodostępnej bazy danych wpisuje się </w:t>
            </w:r>
            <w:r w:rsidR="2CDC4E81" w:rsidRPr="44E0F867">
              <w:rPr>
                <w:sz w:val="18"/>
                <w:szCs w:val="18"/>
              </w:rPr>
              <w:t>również w cele Krajowej Strategii Rozwoju Regionalnego</w:t>
            </w:r>
            <w:r w:rsidR="52EF3E66" w:rsidRPr="44E0F867">
              <w:rPr>
                <w:sz w:val="18"/>
                <w:szCs w:val="18"/>
              </w:rPr>
              <w:t xml:space="preserve"> 2010-2020</w:t>
            </w:r>
            <w:r w:rsidR="2CDC4E81" w:rsidRPr="44E0F867">
              <w:rPr>
                <w:sz w:val="18"/>
                <w:szCs w:val="18"/>
              </w:rPr>
              <w:t>, zakładającej prom</w:t>
            </w:r>
            <w:r w:rsidR="58D1A2A8" w:rsidRPr="44E0F867">
              <w:rPr>
                <w:sz w:val="18"/>
                <w:szCs w:val="18"/>
              </w:rPr>
              <w:t xml:space="preserve">owanie współpracy </w:t>
            </w:r>
            <w:r w:rsidR="52C41A58" w:rsidRPr="44E0F867">
              <w:rPr>
                <w:sz w:val="18"/>
                <w:szCs w:val="18"/>
              </w:rPr>
              <w:t>ponadregionalnej.</w:t>
            </w:r>
          </w:p>
          <w:p w14:paraId="2EE3AB47" w14:textId="0040BEDE" w:rsidR="00B83D3D" w:rsidRDefault="00B83D3D" w:rsidP="44E0F867">
            <w:pPr>
              <w:jc w:val="both"/>
              <w:rPr>
                <w:sz w:val="18"/>
                <w:szCs w:val="18"/>
              </w:rPr>
            </w:pPr>
          </w:p>
          <w:p w14:paraId="5397E63C" w14:textId="2001FE6A" w:rsidR="00122E5B" w:rsidRDefault="00122E5B" w:rsidP="44E0F867">
            <w:pPr>
              <w:jc w:val="both"/>
              <w:rPr>
                <w:sz w:val="18"/>
                <w:szCs w:val="18"/>
              </w:rPr>
            </w:pPr>
            <w:r w:rsidRPr="00122E5B">
              <w:rPr>
                <w:sz w:val="18"/>
                <w:szCs w:val="18"/>
              </w:rPr>
              <w:t>Program</w:t>
            </w:r>
            <w:r w:rsidR="00612B08">
              <w:rPr>
                <w:sz w:val="18"/>
                <w:szCs w:val="18"/>
              </w:rPr>
              <w:t xml:space="preserve"> </w:t>
            </w:r>
            <w:r w:rsidRPr="00122E5B">
              <w:rPr>
                <w:sz w:val="18"/>
                <w:szCs w:val="18"/>
              </w:rPr>
              <w:t>Zintegrowanej</w:t>
            </w:r>
            <w:r w:rsidR="00612B08">
              <w:rPr>
                <w:sz w:val="18"/>
                <w:szCs w:val="18"/>
              </w:rPr>
              <w:t xml:space="preserve"> </w:t>
            </w:r>
            <w:r w:rsidRPr="00122E5B">
              <w:rPr>
                <w:sz w:val="18"/>
                <w:szCs w:val="18"/>
              </w:rPr>
              <w:t>Informatyzacji</w:t>
            </w:r>
            <w:r w:rsidR="00612B08">
              <w:rPr>
                <w:sz w:val="18"/>
                <w:szCs w:val="18"/>
              </w:rPr>
              <w:t xml:space="preserve"> </w:t>
            </w:r>
            <w:r w:rsidRPr="00122E5B">
              <w:rPr>
                <w:sz w:val="18"/>
                <w:szCs w:val="18"/>
              </w:rPr>
              <w:t>Państwa</w:t>
            </w:r>
            <w:r>
              <w:rPr>
                <w:sz w:val="18"/>
                <w:szCs w:val="18"/>
              </w:rPr>
              <w:t xml:space="preserve"> </w:t>
            </w:r>
            <w:r w:rsidRPr="00122E5B">
              <w:rPr>
                <w:sz w:val="18"/>
                <w:szCs w:val="18"/>
              </w:rPr>
              <w:t>przewiduje udostępnienie</w:t>
            </w:r>
            <w:r w:rsidR="00A32BCA">
              <w:rPr>
                <w:sz w:val="18"/>
                <w:szCs w:val="18"/>
              </w:rPr>
              <w:t xml:space="preserve"> </w:t>
            </w:r>
            <w:proofErr w:type="gramStart"/>
            <w:r w:rsidRPr="00122E5B">
              <w:rPr>
                <w:sz w:val="18"/>
                <w:szCs w:val="18"/>
              </w:rPr>
              <w:t>zasobów  naukowych</w:t>
            </w:r>
            <w:proofErr w:type="gramEnd"/>
            <w:r w:rsidRPr="00122E5B">
              <w:rPr>
                <w:sz w:val="18"/>
                <w:szCs w:val="18"/>
              </w:rPr>
              <w:t xml:space="preserve">  oraz  kultury  </w:t>
            </w:r>
            <w:r>
              <w:rPr>
                <w:sz w:val="18"/>
                <w:szCs w:val="18"/>
              </w:rPr>
              <w:t>co zostało z</w:t>
            </w:r>
            <w:r w:rsidRPr="00122E5B">
              <w:rPr>
                <w:sz w:val="18"/>
                <w:szCs w:val="18"/>
              </w:rPr>
              <w:t>realizowane  bezpośrednio przez osiągnięcie celów wyznaczonych w ramach realizacji projektu</w:t>
            </w:r>
          </w:p>
          <w:p w14:paraId="68CC13CC" w14:textId="079BE4AF" w:rsidR="00D56072" w:rsidRDefault="00D56072" w:rsidP="44E0F86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Osiągnięty cel </w:t>
            </w:r>
            <w:proofErr w:type="gramStart"/>
            <w:r>
              <w:rPr>
                <w:sz w:val="18"/>
                <w:szCs w:val="18"/>
              </w:rPr>
              <w:t>projektu</w:t>
            </w:r>
            <w:proofErr w:type="gramEnd"/>
            <w:r>
              <w:rPr>
                <w:sz w:val="18"/>
                <w:szCs w:val="18"/>
              </w:rPr>
              <w:t xml:space="preserve"> czyli wytworzenie i udostępnienie </w:t>
            </w:r>
            <w:proofErr w:type="spellStart"/>
            <w:r>
              <w:rPr>
                <w:sz w:val="18"/>
                <w:szCs w:val="18"/>
              </w:rPr>
              <w:t>zdigitalizowanych</w:t>
            </w:r>
            <w:proofErr w:type="spellEnd"/>
            <w:r>
              <w:rPr>
                <w:sz w:val="18"/>
                <w:szCs w:val="18"/>
              </w:rPr>
              <w:t xml:space="preserve"> danych jest zgodny z celami Programu Operacyjnego Polska cyfrowa.</w:t>
            </w:r>
          </w:p>
          <w:p w14:paraId="1053A9D1" w14:textId="77777777" w:rsidR="00D56072" w:rsidRDefault="00D56072" w:rsidP="44E0F867">
            <w:pPr>
              <w:jc w:val="both"/>
              <w:rPr>
                <w:sz w:val="18"/>
                <w:szCs w:val="18"/>
              </w:rPr>
            </w:pPr>
          </w:p>
          <w:p w14:paraId="6A80C16B" w14:textId="1BD600AB" w:rsidR="00B83D3D" w:rsidRDefault="00B83D3D" w:rsidP="44E0F86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Realizacja wskaźników nastąpiła w terminie zgodnym z harmonogramem.</w:t>
            </w:r>
          </w:p>
          <w:p w14:paraId="4ABE5959" w14:textId="77777777" w:rsidR="00190579" w:rsidRDefault="00190579" w:rsidP="44E0F867">
            <w:pPr>
              <w:jc w:val="both"/>
              <w:rPr>
                <w:sz w:val="18"/>
                <w:szCs w:val="18"/>
              </w:rPr>
            </w:pPr>
          </w:p>
          <w:p w14:paraId="1841FBF5" w14:textId="366BA53F" w:rsidR="00AF538A" w:rsidRDefault="00AF538A" w:rsidP="44E0F867">
            <w:pPr>
              <w:jc w:val="both"/>
              <w:rPr>
                <w:sz w:val="18"/>
                <w:szCs w:val="18"/>
              </w:rPr>
            </w:pPr>
          </w:p>
          <w:p w14:paraId="14B366E1" w14:textId="55613286" w:rsidR="00190579" w:rsidRDefault="0040462A" w:rsidP="007F7E61">
            <w:pPr>
              <w:pStyle w:val="Other0"/>
              <w:rPr>
                <w:b/>
                <w:bCs/>
                <w:highlight w:val="yellow"/>
              </w:rPr>
            </w:pPr>
            <w:r w:rsidRPr="0040462A">
              <w:rPr>
                <w:b/>
                <w:bCs/>
              </w:rPr>
              <w:t>Pomiar wpływu projektu ora</w:t>
            </w:r>
            <w:r>
              <w:rPr>
                <w:b/>
                <w:bCs/>
              </w:rPr>
              <w:t xml:space="preserve">z faktyczne wykorzystanie </w:t>
            </w:r>
            <w:r w:rsidRPr="0040462A">
              <w:rPr>
                <w:b/>
                <w:bCs/>
              </w:rPr>
              <w:t xml:space="preserve">produktów wytworzonych w ramach projektu mierzony </w:t>
            </w:r>
            <w:r>
              <w:rPr>
                <w:b/>
                <w:bCs/>
              </w:rPr>
              <w:t>jest</w:t>
            </w:r>
            <w:r w:rsidRPr="0040462A">
              <w:rPr>
                <w:b/>
                <w:bCs/>
              </w:rPr>
              <w:t xml:space="preserve"> poprzez monitorowanie poniższych wskaźników</w:t>
            </w:r>
          </w:p>
          <w:p w14:paraId="3F0690A4" w14:textId="77777777" w:rsidR="006107FF" w:rsidRDefault="006107FF" w:rsidP="44E0F867">
            <w:pPr>
              <w:jc w:val="both"/>
              <w:rPr>
                <w:sz w:val="18"/>
                <w:szCs w:val="18"/>
              </w:rPr>
            </w:pPr>
          </w:p>
          <w:tbl>
            <w:tblPr>
              <w:tblStyle w:val="TableGrid"/>
              <w:tblW w:w="6651" w:type="dxa"/>
              <w:tblLook w:val="04A0" w:firstRow="1" w:lastRow="0" w:firstColumn="1" w:lastColumn="0" w:noHBand="0" w:noVBand="1"/>
            </w:tblPr>
            <w:tblGrid>
              <w:gridCol w:w="2545"/>
              <w:gridCol w:w="1842"/>
              <w:gridCol w:w="2264"/>
            </w:tblGrid>
            <w:tr w:rsidR="006107FF" w14:paraId="5C2B82C9" w14:textId="77777777" w:rsidTr="006107FF">
              <w:trPr>
                <w:tblHeader/>
              </w:trPr>
              <w:tc>
                <w:tcPr>
                  <w:tcW w:w="2545" w:type="dxa"/>
                  <w:shd w:val="clear" w:color="auto" w:fill="D0CECE" w:themeFill="background2" w:themeFillShade="E6"/>
                  <w:vAlign w:val="center"/>
                </w:tcPr>
                <w:p w14:paraId="58F77B95" w14:textId="77777777" w:rsidR="006107FF" w:rsidRDefault="006107FF" w:rsidP="006107FF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Nazwa</w:t>
                  </w:r>
                </w:p>
              </w:tc>
              <w:tc>
                <w:tcPr>
                  <w:tcW w:w="1842" w:type="dxa"/>
                  <w:shd w:val="clear" w:color="auto" w:fill="D0CECE" w:themeFill="background2" w:themeFillShade="E6"/>
                  <w:vAlign w:val="center"/>
                </w:tcPr>
                <w:p w14:paraId="08973BCC" w14:textId="77777777" w:rsidR="006107FF" w:rsidRDefault="006107FF" w:rsidP="006107FF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Wartość </w:t>
                  </w:r>
                </w:p>
                <w:p w14:paraId="2CDDC66B" w14:textId="77777777" w:rsidR="006107FF" w:rsidRDefault="006107FF" w:rsidP="006107FF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docelowa</w:t>
                  </w:r>
                </w:p>
              </w:tc>
              <w:tc>
                <w:tcPr>
                  <w:tcW w:w="2264" w:type="dxa"/>
                  <w:shd w:val="clear" w:color="auto" w:fill="D0CECE" w:themeFill="background2" w:themeFillShade="E6"/>
                  <w:vAlign w:val="center"/>
                </w:tcPr>
                <w:p w14:paraId="6D9A869F" w14:textId="77777777" w:rsidR="006107FF" w:rsidRDefault="006107FF" w:rsidP="006107FF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Wartość osiągnięta od początku realizacji projektu (narastająco)</w:t>
                  </w:r>
                </w:p>
              </w:tc>
            </w:tr>
            <w:tr w:rsidR="006107FF" w14:paraId="39AF30E1" w14:textId="77777777" w:rsidTr="006107FF">
              <w:tc>
                <w:tcPr>
                  <w:tcW w:w="2545" w:type="dxa"/>
                  <w:shd w:val="clear" w:color="auto" w:fill="auto"/>
                </w:tcPr>
                <w:p w14:paraId="0C455122" w14:textId="77777777" w:rsidR="006107FF" w:rsidRPr="00DC6AFA" w:rsidRDefault="006107FF" w:rsidP="006107FF">
                  <w:pPr>
                    <w:pStyle w:val="BodyText2"/>
                    <w:spacing w:after="0" w:line="259" w:lineRule="auto"/>
                    <w:ind w:left="34"/>
                    <w:rPr>
                      <w:rFonts w:cs="Arial"/>
                      <w:sz w:val="18"/>
                      <w:szCs w:val="18"/>
                      <w:lang w:val="pl-PL" w:eastAsia="pl-PL"/>
                    </w:rPr>
                  </w:pPr>
                  <w:r w:rsidRPr="00DC6AFA">
                    <w:rPr>
                      <w:rFonts w:cs="Arial"/>
                      <w:sz w:val="18"/>
                      <w:szCs w:val="18"/>
                      <w:lang w:val="pl-PL" w:eastAsia="pl-PL"/>
                    </w:rPr>
                    <w:t>Liczba podmiotów, które udostępniły on-line informacje sektora publicznego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14:paraId="53F9036F" w14:textId="295E127F" w:rsidR="006107FF" w:rsidRDefault="006107FF" w:rsidP="006107F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 szt.</w:t>
                  </w:r>
                </w:p>
              </w:tc>
              <w:tc>
                <w:tcPr>
                  <w:tcW w:w="2264" w:type="dxa"/>
                  <w:shd w:val="clear" w:color="auto" w:fill="auto"/>
                </w:tcPr>
                <w:p w14:paraId="5B9D3961" w14:textId="307876D7" w:rsidR="006107FF" w:rsidRDefault="006107FF" w:rsidP="006107FF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sz w:val="18"/>
                      <w:szCs w:val="20"/>
                    </w:rPr>
                    <w:t>1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szt.</w:t>
                  </w:r>
                </w:p>
              </w:tc>
            </w:tr>
            <w:tr w:rsidR="006107FF" w14:paraId="27B51553" w14:textId="77777777" w:rsidTr="006107FF">
              <w:tc>
                <w:tcPr>
                  <w:tcW w:w="2545" w:type="dxa"/>
                  <w:shd w:val="clear" w:color="auto" w:fill="auto"/>
                </w:tcPr>
                <w:p w14:paraId="10F2FE22" w14:textId="77777777" w:rsidR="006107FF" w:rsidRPr="00DC6AFA" w:rsidRDefault="006107FF" w:rsidP="006107FF">
                  <w:pPr>
                    <w:pStyle w:val="BodyText2"/>
                    <w:spacing w:after="0" w:line="259" w:lineRule="auto"/>
                    <w:ind w:left="34"/>
                    <w:rPr>
                      <w:rFonts w:cs="Arial"/>
                      <w:sz w:val="18"/>
                      <w:szCs w:val="18"/>
                      <w:lang w:val="pl-PL" w:eastAsia="pl-PL"/>
                    </w:rPr>
                  </w:pPr>
                  <w:r w:rsidRPr="00DC6AFA">
                    <w:rPr>
                      <w:rFonts w:cs="Arial"/>
                      <w:sz w:val="18"/>
                      <w:szCs w:val="18"/>
                      <w:lang w:val="pl-PL" w:eastAsia="pl-PL"/>
                    </w:rPr>
                    <w:t xml:space="preserve">Liczba </w:t>
                  </w:r>
                  <w:proofErr w:type="spellStart"/>
                  <w:r w:rsidRPr="00DC6AFA">
                    <w:rPr>
                      <w:rFonts w:cs="Arial"/>
                      <w:sz w:val="18"/>
                      <w:szCs w:val="18"/>
                      <w:lang w:val="pl-PL" w:eastAsia="pl-PL"/>
                    </w:rPr>
                    <w:t>zdigitalizowanych</w:t>
                  </w:r>
                  <w:proofErr w:type="spellEnd"/>
                  <w:r w:rsidRPr="00DC6AFA">
                    <w:rPr>
                      <w:rFonts w:cs="Arial"/>
                      <w:sz w:val="18"/>
                      <w:szCs w:val="18"/>
                      <w:lang w:val="pl-PL" w:eastAsia="pl-PL"/>
                    </w:rPr>
                    <w:t xml:space="preserve"> dokumentów zawierających informacje sektora publicznego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14:paraId="4D90071B" w14:textId="1873E528" w:rsidR="006107FF" w:rsidRDefault="006107FF" w:rsidP="006107F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3 900 szt.</w:t>
                  </w:r>
                </w:p>
              </w:tc>
              <w:tc>
                <w:tcPr>
                  <w:tcW w:w="2264" w:type="dxa"/>
                  <w:shd w:val="clear" w:color="auto" w:fill="auto"/>
                </w:tcPr>
                <w:p w14:paraId="67F4718D" w14:textId="312AFB36" w:rsidR="006107FF" w:rsidRDefault="006107FF" w:rsidP="006107FF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sz w:val="18"/>
                      <w:szCs w:val="20"/>
                    </w:rPr>
                    <w:t>4 414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szt.</w:t>
                  </w:r>
                </w:p>
              </w:tc>
            </w:tr>
            <w:tr w:rsidR="006107FF" w14:paraId="2CB6AD26" w14:textId="77777777" w:rsidTr="006107FF">
              <w:tc>
                <w:tcPr>
                  <w:tcW w:w="2545" w:type="dxa"/>
                  <w:shd w:val="clear" w:color="auto" w:fill="auto"/>
                </w:tcPr>
                <w:p w14:paraId="68FFE897" w14:textId="77777777" w:rsidR="006107FF" w:rsidRPr="00DC6AFA" w:rsidRDefault="006107FF" w:rsidP="006107FF">
                  <w:pPr>
                    <w:pStyle w:val="BodyText2"/>
                    <w:spacing w:after="0" w:line="259" w:lineRule="auto"/>
                    <w:ind w:left="34"/>
                    <w:rPr>
                      <w:rFonts w:cs="Arial"/>
                      <w:sz w:val="18"/>
                      <w:szCs w:val="18"/>
                      <w:lang w:val="pl-PL" w:eastAsia="pl-PL"/>
                    </w:rPr>
                  </w:pPr>
                  <w:r w:rsidRPr="00DC6AFA">
                    <w:rPr>
                      <w:rFonts w:cs="Arial"/>
                      <w:sz w:val="18"/>
                      <w:szCs w:val="18"/>
                      <w:lang w:val="pl-PL" w:eastAsia="pl-PL"/>
                    </w:rPr>
                    <w:t>Liczba udostępnionych on-line dokumentów zawierających informacje sektora publicznego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14:paraId="37F657CE" w14:textId="58F40BA0" w:rsidR="006107FF" w:rsidRDefault="006107FF" w:rsidP="006107F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17 780 szt.</w:t>
                  </w:r>
                </w:p>
              </w:tc>
              <w:tc>
                <w:tcPr>
                  <w:tcW w:w="2264" w:type="dxa"/>
                  <w:shd w:val="clear" w:color="auto" w:fill="auto"/>
                </w:tcPr>
                <w:p w14:paraId="2B746E42" w14:textId="62E25F2A" w:rsidR="006107FF" w:rsidRDefault="00BB24F6" w:rsidP="006107FF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sz w:val="18"/>
                      <w:szCs w:val="20"/>
                    </w:rPr>
                    <w:t>22 314</w:t>
                  </w:r>
                  <w:r w:rsidR="006107FF">
                    <w:rPr>
                      <w:rFonts w:ascii="Arial" w:hAnsi="Arial" w:cs="Arial"/>
                      <w:sz w:val="18"/>
                      <w:szCs w:val="18"/>
                    </w:rPr>
                    <w:t xml:space="preserve"> szt.</w:t>
                  </w:r>
                </w:p>
              </w:tc>
            </w:tr>
            <w:tr w:rsidR="006107FF" w14:paraId="5419E026" w14:textId="77777777" w:rsidTr="006107FF">
              <w:tc>
                <w:tcPr>
                  <w:tcW w:w="2545" w:type="dxa"/>
                  <w:shd w:val="clear" w:color="auto" w:fill="auto"/>
                </w:tcPr>
                <w:p w14:paraId="771D619B" w14:textId="77777777" w:rsidR="006107FF" w:rsidRPr="00DC6AFA" w:rsidRDefault="006107FF" w:rsidP="006107FF">
                  <w:pPr>
                    <w:pStyle w:val="BodyText2"/>
                    <w:spacing w:after="0" w:line="259" w:lineRule="auto"/>
                    <w:ind w:left="34"/>
                    <w:rPr>
                      <w:rFonts w:cs="Arial"/>
                      <w:sz w:val="18"/>
                      <w:szCs w:val="18"/>
                      <w:lang w:val="pl-PL" w:eastAsia="pl-PL"/>
                    </w:rPr>
                  </w:pPr>
                  <w:r w:rsidRPr="00DC6AFA">
                    <w:rPr>
                      <w:rFonts w:cs="Arial"/>
                      <w:sz w:val="18"/>
                      <w:szCs w:val="18"/>
                      <w:lang w:val="pl-PL" w:eastAsia="pl-PL"/>
                    </w:rPr>
                    <w:t>Liczba utworzonych API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14:paraId="6D2DA2E3" w14:textId="294C6C22" w:rsidR="006107FF" w:rsidRDefault="006107FF" w:rsidP="006107F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3 szt.</w:t>
                  </w:r>
                </w:p>
              </w:tc>
              <w:tc>
                <w:tcPr>
                  <w:tcW w:w="2264" w:type="dxa"/>
                  <w:shd w:val="clear" w:color="auto" w:fill="auto"/>
                </w:tcPr>
                <w:p w14:paraId="3CA2FEE8" w14:textId="73DD2D83" w:rsidR="006107FF" w:rsidRDefault="006107FF" w:rsidP="006107FF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sz w:val="18"/>
                      <w:szCs w:val="20"/>
                    </w:rPr>
                    <w:t>3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szt.</w:t>
                  </w:r>
                </w:p>
              </w:tc>
            </w:tr>
            <w:tr w:rsidR="006107FF" w14:paraId="16CC00DA" w14:textId="77777777" w:rsidTr="006107FF">
              <w:tc>
                <w:tcPr>
                  <w:tcW w:w="2545" w:type="dxa"/>
                  <w:shd w:val="clear" w:color="auto" w:fill="auto"/>
                </w:tcPr>
                <w:p w14:paraId="7FB8F1C9" w14:textId="77777777" w:rsidR="006107FF" w:rsidRDefault="006107FF" w:rsidP="006107FF">
                  <w:pPr>
                    <w:pStyle w:val="BodyText2"/>
                    <w:spacing w:after="0" w:line="259" w:lineRule="auto"/>
                    <w:ind w:left="34"/>
                    <w:rPr>
                      <w:rFonts w:cs="Arial"/>
                      <w:sz w:val="18"/>
                      <w:szCs w:val="18"/>
                      <w:lang w:val="pl-PL" w:eastAsia="pl-PL"/>
                    </w:rPr>
                  </w:pPr>
                  <w:r>
                    <w:rPr>
                      <w:rFonts w:cs="Arial"/>
                      <w:sz w:val="18"/>
                      <w:szCs w:val="18"/>
                      <w:lang w:val="pl-PL" w:eastAsia="pl-PL"/>
                    </w:rPr>
                    <w:t>Liczba baz danych udostępnionych on-line poprzez API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14:paraId="7FA74D75" w14:textId="072800A4" w:rsidR="006107FF" w:rsidRDefault="006107FF" w:rsidP="006107F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 szt.</w:t>
                  </w:r>
                </w:p>
              </w:tc>
              <w:tc>
                <w:tcPr>
                  <w:tcW w:w="2264" w:type="dxa"/>
                  <w:shd w:val="clear" w:color="auto" w:fill="auto"/>
                </w:tcPr>
                <w:p w14:paraId="2BC3EF9C" w14:textId="24AD4568" w:rsidR="006107FF" w:rsidRDefault="006107FF" w:rsidP="006107FF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sz w:val="18"/>
                      <w:szCs w:val="20"/>
                    </w:rPr>
                    <w:t>1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szt.</w:t>
                  </w:r>
                </w:p>
              </w:tc>
            </w:tr>
            <w:tr w:rsidR="006107FF" w14:paraId="5916EFEF" w14:textId="77777777" w:rsidTr="006107FF">
              <w:tc>
                <w:tcPr>
                  <w:tcW w:w="2545" w:type="dxa"/>
                  <w:shd w:val="clear" w:color="auto" w:fill="auto"/>
                </w:tcPr>
                <w:p w14:paraId="2B49621F" w14:textId="77777777" w:rsidR="006107FF" w:rsidRDefault="006107FF" w:rsidP="006107FF">
                  <w:pPr>
                    <w:pStyle w:val="BodyText2"/>
                    <w:spacing w:after="0" w:line="259" w:lineRule="auto"/>
                    <w:ind w:left="34"/>
                    <w:rPr>
                      <w:rFonts w:cs="Arial"/>
                      <w:sz w:val="18"/>
                      <w:szCs w:val="18"/>
                      <w:lang w:val="pl-PL" w:eastAsia="pl-PL"/>
                    </w:rPr>
                  </w:pPr>
                  <w:r>
                    <w:rPr>
                      <w:rFonts w:cs="Arial"/>
                      <w:sz w:val="18"/>
                      <w:szCs w:val="18"/>
                      <w:lang w:val="pl-PL" w:eastAsia="pl-PL"/>
                    </w:rPr>
                    <w:t>Liczba pobrań/</w:t>
                  </w:r>
                  <w:proofErr w:type="spellStart"/>
                  <w:r>
                    <w:rPr>
                      <w:rFonts w:cs="Arial"/>
                      <w:sz w:val="18"/>
                      <w:szCs w:val="18"/>
                      <w:lang w:val="pl-PL" w:eastAsia="pl-PL"/>
                    </w:rPr>
                    <w:t>odtworzeń</w:t>
                  </w:r>
                  <w:proofErr w:type="spellEnd"/>
                  <w:r>
                    <w:rPr>
                      <w:rFonts w:cs="Arial"/>
                      <w:sz w:val="18"/>
                      <w:szCs w:val="18"/>
                      <w:lang w:val="pl-PL" w:eastAsia="pl-PL"/>
                    </w:rPr>
                    <w:t xml:space="preserve"> dokumentów zawierających informacje sektora publicznego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14:paraId="4C4FE4E4" w14:textId="31B9AEE7" w:rsidR="006107FF" w:rsidRDefault="006107FF" w:rsidP="006107F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140 000 szt.</w:t>
                  </w:r>
                </w:p>
              </w:tc>
              <w:tc>
                <w:tcPr>
                  <w:tcW w:w="2264" w:type="dxa"/>
                  <w:shd w:val="clear" w:color="auto" w:fill="auto"/>
                </w:tcPr>
                <w:p w14:paraId="78B88017" w14:textId="2E305105" w:rsidR="006107FF" w:rsidRDefault="006107FF" w:rsidP="006107FF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sz w:val="18"/>
                      <w:szCs w:val="20"/>
                    </w:rPr>
                    <w:t>1 000 szt.</w:t>
                  </w:r>
                </w:p>
              </w:tc>
            </w:tr>
            <w:tr w:rsidR="006107FF" w14:paraId="2899A2CE" w14:textId="77777777" w:rsidTr="006107FF">
              <w:tc>
                <w:tcPr>
                  <w:tcW w:w="2545" w:type="dxa"/>
                  <w:shd w:val="clear" w:color="auto" w:fill="auto"/>
                </w:tcPr>
                <w:p w14:paraId="5FFF8E25" w14:textId="77777777" w:rsidR="006107FF" w:rsidRDefault="006107FF" w:rsidP="006107FF">
                  <w:pPr>
                    <w:pStyle w:val="BodyText2"/>
                    <w:spacing w:after="0" w:line="259" w:lineRule="auto"/>
                    <w:ind w:left="34"/>
                    <w:rPr>
                      <w:rFonts w:cs="Arial"/>
                      <w:sz w:val="18"/>
                      <w:szCs w:val="18"/>
                      <w:lang w:val="pl-PL" w:eastAsia="pl-PL"/>
                    </w:rPr>
                  </w:pPr>
                  <w:r>
                    <w:rPr>
                      <w:rFonts w:cs="Arial"/>
                      <w:sz w:val="18"/>
                      <w:szCs w:val="18"/>
                      <w:lang w:val="pl-PL" w:eastAsia="pl-PL"/>
                    </w:rPr>
                    <w:t xml:space="preserve">Rozmiar </w:t>
                  </w:r>
                  <w:proofErr w:type="spellStart"/>
                  <w:r>
                    <w:rPr>
                      <w:rFonts w:cs="Arial"/>
                      <w:sz w:val="18"/>
                      <w:szCs w:val="18"/>
                      <w:lang w:val="pl-PL" w:eastAsia="pl-PL"/>
                    </w:rPr>
                    <w:t>zdigitalizowanej</w:t>
                  </w:r>
                  <w:proofErr w:type="spellEnd"/>
                  <w:r>
                    <w:rPr>
                      <w:rFonts w:cs="Arial"/>
                      <w:sz w:val="18"/>
                      <w:szCs w:val="18"/>
                      <w:lang w:val="pl-PL" w:eastAsia="pl-PL"/>
                    </w:rPr>
                    <w:t xml:space="preserve"> informacji sektora publicznego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14:paraId="2D8DB94C" w14:textId="33CD16D4" w:rsidR="006107FF" w:rsidRDefault="006107FF" w:rsidP="00BB24F6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33,50</w:t>
                  </w:r>
                  <w:r w:rsidR="00BB24F6">
                    <w:rPr>
                      <w:rFonts w:ascii="Arial" w:hAnsi="Arial" w:cs="Arial"/>
                      <w:sz w:val="18"/>
                      <w:szCs w:val="18"/>
                    </w:rPr>
                    <w:t xml:space="preserve"> TB</w:t>
                  </w:r>
                </w:p>
              </w:tc>
              <w:tc>
                <w:tcPr>
                  <w:tcW w:w="2264" w:type="dxa"/>
                  <w:shd w:val="clear" w:color="auto" w:fill="auto"/>
                </w:tcPr>
                <w:p w14:paraId="77F261AA" w14:textId="49C164FE" w:rsidR="006107FF" w:rsidRDefault="006107FF" w:rsidP="00BB24F6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sz w:val="18"/>
                      <w:szCs w:val="20"/>
                    </w:rPr>
                    <w:t>34,6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="00BB24F6">
                    <w:rPr>
                      <w:rFonts w:ascii="Arial" w:hAnsi="Arial" w:cs="Arial"/>
                      <w:sz w:val="18"/>
                      <w:szCs w:val="18"/>
                    </w:rPr>
                    <w:t>TB</w:t>
                  </w:r>
                </w:p>
              </w:tc>
            </w:tr>
            <w:tr w:rsidR="006107FF" w14:paraId="594A6288" w14:textId="77777777" w:rsidTr="006107FF">
              <w:tc>
                <w:tcPr>
                  <w:tcW w:w="2545" w:type="dxa"/>
                  <w:shd w:val="clear" w:color="auto" w:fill="auto"/>
                </w:tcPr>
                <w:p w14:paraId="29078FFB" w14:textId="77777777" w:rsidR="006107FF" w:rsidRDefault="006107FF" w:rsidP="006107FF">
                  <w:pPr>
                    <w:pStyle w:val="BodyText2"/>
                    <w:spacing w:after="0" w:line="259" w:lineRule="auto"/>
                    <w:ind w:left="34"/>
                    <w:rPr>
                      <w:rFonts w:cs="Arial"/>
                      <w:sz w:val="18"/>
                      <w:szCs w:val="18"/>
                      <w:lang w:val="pl-PL" w:eastAsia="pl-PL"/>
                    </w:rPr>
                  </w:pPr>
                  <w:r w:rsidRPr="00DC6AFA">
                    <w:rPr>
                      <w:rFonts w:cs="Arial"/>
                      <w:sz w:val="18"/>
                      <w:szCs w:val="18"/>
                      <w:lang w:val="pl-PL" w:eastAsia="pl-PL"/>
                    </w:rPr>
                    <w:t>Rozmiar udostępnionych on-line informacji sektora</w:t>
                  </w:r>
                  <w:r>
                    <w:rPr>
                      <w:rFonts w:cs="Arial"/>
                      <w:sz w:val="18"/>
                      <w:szCs w:val="18"/>
                      <w:lang w:val="pl-PL" w:eastAsia="pl-PL"/>
                    </w:rPr>
                    <w:t xml:space="preserve"> publicznego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14:paraId="723C8BA4" w14:textId="3FDFD608" w:rsidR="006107FF" w:rsidRDefault="006107FF" w:rsidP="00BB24F6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35,00 </w:t>
                  </w:r>
                  <w:r w:rsidR="00BB24F6">
                    <w:rPr>
                      <w:rFonts w:ascii="Arial" w:hAnsi="Arial" w:cs="Arial"/>
                      <w:sz w:val="18"/>
                      <w:szCs w:val="18"/>
                    </w:rPr>
                    <w:t>TB</w:t>
                  </w:r>
                </w:p>
              </w:tc>
              <w:tc>
                <w:tcPr>
                  <w:tcW w:w="2264" w:type="dxa"/>
                  <w:shd w:val="clear" w:color="auto" w:fill="auto"/>
                </w:tcPr>
                <w:p w14:paraId="21085FA8" w14:textId="5928BEB6" w:rsidR="006107FF" w:rsidRDefault="00BB24F6" w:rsidP="00BB24F6">
                  <w:pPr>
                    <w:rPr>
                      <w:rFonts w:ascii="Arial" w:hAnsi="Arial" w:cs="Arial"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sz w:val="18"/>
                      <w:szCs w:val="20"/>
                    </w:rPr>
                    <w:t>37,87</w:t>
                  </w:r>
                  <w:r w:rsidR="006107FF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TB</w:t>
                  </w:r>
                </w:p>
              </w:tc>
            </w:tr>
          </w:tbl>
          <w:p w14:paraId="2681ECC5" w14:textId="08F7D538" w:rsidR="00920CE8" w:rsidRPr="002450C4" w:rsidRDefault="00632AA0" w:rsidP="00BC120E">
            <w:pPr>
              <w:jc w:val="both"/>
              <w:rPr>
                <w:i/>
                <w:sz w:val="18"/>
                <w:szCs w:val="20"/>
              </w:rPr>
            </w:pPr>
            <w:r w:rsidRPr="002450C4">
              <w:rPr>
                <w:i/>
                <w:sz w:val="18"/>
                <w:szCs w:val="20"/>
              </w:rPr>
              <w:t xml:space="preserve"> </w:t>
            </w:r>
          </w:p>
        </w:tc>
      </w:tr>
      <w:tr w:rsidR="007A0A3D" w:rsidRPr="002450C4" w14:paraId="6F874A51" w14:textId="77777777" w:rsidTr="44E0F867">
        <w:tc>
          <w:tcPr>
            <w:tcW w:w="480" w:type="dxa"/>
          </w:tcPr>
          <w:p w14:paraId="0D0B940D" w14:textId="77777777" w:rsidR="007A0A3D" w:rsidRPr="002450C4" w:rsidRDefault="007A0A3D" w:rsidP="007A0A3D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7783C359" w14:textId="77777777" w:rsidR="007A0A3D" w:rsidRPr="002450C4" w:rsidRDefault="005D4188" w:rsidP="00A6601B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Ryzyka i problemy</w:t>
            </w:r>
          </w:p>
        </w:tc>
        <w:tc>
          <w:tcPr>
            <w:tcW w:w="6232" w:type="dxa"/>
          </w:tcPr>
          <w:p w14:paraId="239E8EF3" w14:textId="05A33307" w:rsidR="007A0A3D" w:rsidRPr="002450C4" w:rsidRDefault="6083840A" w:rsidP="44E0F867">
            <w:pPr>
              <w:jc w:val="both"/>
              <w:rPr>
                <w:sz w:val="18"/>
                <w:szCs w:val="18"/>
              </w:rPr>
            </w:pPr>
            <w:r w:rsidRPr="44E0F867">
              <w:rPr>
                <w:sz w:val="18"/>
                <w:szCs w:val="18"/>
              </w:rPr>
              <w:t xml:space="preserve">Procedury zakupowe w oparciu o przepisy ustawy PZP </w:t>
            </w:r>
            <w:r w:rsidR="32AE3A20" w:rsidRPr="44E0F867">
              <w:rPr>
                <w:sz w:val="18"/>
                <w:szCs w:val="18"/>
              </w:rPr>
              <w:t>- mimo doświadczonego personelu obsługującego ten obszar działalności Beneficjenta nie udało się uniknąć konie</w:t>
            </w:r>
            <w:r w:rsidR="7692B3EF" w:rsidRPr="44E0F867">
              <w:rPr>
                <w:sz w:val="18"/>
                <w:szCs w:val="18"/>
              </w:rPr>
              <w:t>czności powtarzania postępowa</w:t>
            </w:r>
            <w:r w:rsidR="1E08CAA1" w:rsidRPr="44E0F867">
              <w:rPr>
                <w:sz w:val="18"/>
                <w:szCs w:val="18"/>
              </w:rPr>
              <w:t>ń</w:t>
            </w:r>
            <w:r w:rsidR="477B35A5" w:rsidRPr="44E0F867">
              <w:rPr>
                <w:sz w:val="18"/>
                <w:szCs w:val="18"/>
              </w:rPr>
              <w:t xml:space="preserve">. W dużej mierze taki stan rzeczy wynikał z błędów wykonawców - braki w ofertach niezgodności z zamówieniem. </w:t>
            </w:r>
          </w:p>
          <w:p w14:paraId="1DFC1DDE" w14:textId="47C2F7AB" w:rsidR="007A0A3D" w:rsidRPr="002450C4" w:rsidRDefault="6D080D06" w:rsidP="44E0F867">
            <w:pPr>
              <w:jc w:val="both"/>
              <w:rPr>
                <w:sz w:val="18"/>
                <w:szCs w:val="18"/>
              </w:rPr>
            </w:pPr>
            <w:r w:rsidRPr="44E0F867">
              <w:rPr>
                <w:sz w:val="18"/>
                <w:szCs w:val="18"/>
              </w:rPr>
              <w:t xml:space="preserve">Dodatkowo w ostatnie fazie realizacji projektu zaczęła obowiązywać nowa ustawa PZP, </w:t>
            </w:r>
            <w:r w:rsidR="338CFBFD" w:rsidRPr="44E0F867">
              <w:rPr>
                <w:sz w:val="18"/>
                <w:szCs w:val="18"/>
              </w:rPr>
              <w:t xml:space="preserve">co zwiększyło nakłady pracy na obsługę </w:t>
            </w:r>
            <w:r w:rsidR="0D06F9CE" w:rsidRPr="44E0F867">
              <w:rPr>
                <w:sz w:val="18"/>
                <w:szCs w:val="18"/>
              </w:rPr>
              <w:t>zamówień</w:t>
            </w:r>
            <w:r w:rsidR="338CFBFD" w:rsidRPr="44E0F867">
              <w:rPr>
                <w:sz w:val="18"/>
                <w:szCs w:val="18"/>
              </w:rPr>
              <w:t xml:space="preserve"> </w:t>
            </w:r>
            <w:r w:rsidR="0B8120FE" w:rsidRPr="44E0F867">
              <w:rPr>
                <w:sz w:val="18"/>
                <w:szCs w:val="18"/>
              </w:rPr>
              <w:t>niezbędnych</w:t>
            </w:r>
            <w:r w:rsidR="338CFBFD" w:rsidRPr="44E0F867">
              <w:rPr>
                <w:sz w:val="18"/>
                <w:szCs w:val="18"/>
              </w:rPr>
              <w:t xml:space="preserve"> do realizacji projektu</w:t>
            </w:r>
            <w:r w:rsidRPr="44E0F867">
              <w:rPr>
                <w:sz w:val="18"/>
                <w:szCs w:val="18"/>
              </w:rPr>
              <w:t xml:space="preserve">. </w:t>
            </w:r>
          </w:p>
          <w:p w14:paraId="06C84DE2" w14:textId="48CC32F2" w:rsidR="007A0A3D" w:rsidRPr="002450C4" w:rsidRDefault="007A0A3D" w:rsidP="44E0F867">
            <w:pPr>
              <w:jc w:val="both"/>
              <w:rPr>
                <w:sz w:val="18"/>
                <w:szCs w:val="18"/>
              </w:rPr>
            </w:pPr>
          </w:p>
          <w:p w14:paraId="5D8AEC81" w14:textId="284E859B" w:rsidR="007A0A3D" w:rsidRPr="002450C4" w:rsidRDefault="47183CD3" w:rsidP="44E0F867">
            <w:pPr>
              <w:jc w:val="both"/>
              <w:rPr>
                <w:sz w:val="18"/>
                <w:szCs w:val="18"/>
              </w:rPr>
            </w:pPr>
            <w:r w:rsidRPr="44E0F867">
              <w:rPr>
                <w:sz w:val="18"/>
                <w:szCs w:val="18"/>
              </w:rPr>
              <w:t xml:space="preserve">Duża rotacja personelu – Beneficjent jako jednostka publiczna ma </w:t>
            </w:r>
            <w:r w:rsidR="514C5729" w:rsidRPr="44E0F867">
              <w:rPr>
                <w:sz w:val="18"/>
                <w:szCs w:val="18"/>
              </w:rPr>
              <w:t xml:space="preserve">utrudnione możliwości konkurencji z sektorem prywatnym. </w:t>
            </w:r>
          </w:p>
          <w:p w14:paraId="3AFC0666" w14:textId="35B05657" w:rsidR="007A0A3D" w:rsidRPr="002450C4" w:rsidRDefault="007A0A3D" w:rsidP="44E0F867">
            <w:pPr>
              <w:jc w:val="both"/>
              <w:rPr>
                <w:color w:val="70AD47" w:themeColor="accent6"/>
                <w:sz w:val="18"/>
                <w:szCs w:val="18"/>
              </w:rPr>
            </w:pPr>
          </w:p>
          <w:p w14:paraId="0A839930" w14:textId="47C73C0A" w:rsidR="007A0A3D" w:rsidRPr="002450C4" w:rsidRDefault="65088C7D" w:rsidP="44E0F867">
            <w:pPr>
              <w:jc w:val="both"/>
              <w:rPr>
                <w:i/>
                <w:iCs/>
                <w:sz w:val="18"/>
                <w:szCs w:val="18"/>
              </w:rPr>
            </w:pPr>
            <w:r w:rsidRPr="44E0F867">
              <w:rPr>
                <w:sz w:val="18"/>
                <w:szCs w:val="18"/>
              </w:rPr>
              <w:t xml:space="preserve">Ryzyka Legislacyjne </w:t>
            </w:r>
            <w:r w:rsidR="70A0B839" w:rsidRPr="44E0F867">
              <w:rPr>
                <w:sz w:val="18"/>
                <w:szCs w:val="18"/>
              </w:rPr>
              <w:t>zmiany w obowiązujących przepisach prawnych</w:t>
            </w:r>
            <w:r w:rsidR="080928C9" w:rsidRPr="44E0F867">
              <w:rPr>
                <w:sz w:val="18"/>
                <w:szCs w:val="18"/>
              </w:rPr>
              <w:t>.</w:t>
            </w:r>
            <w:r w:rsidR="70A0B839" w:rsidRPr="44E0F867">
              <w:rPr>
                <w:sz w:val="18"/>
                <w:szCs w:val="18"/>
              </w:rPr>
              <w:t xml:space="preserve"> </w:t>
            </w:r>
            <w:r w:rsidR="5CE89356" w:rsidRPr="44E0F867">
              <w:rPr>
                <w:sz w:val="18"/>
                <w:szCs w:val="18"/>
              </w:rPr>
              <w:t>Za przykład posłużyć może</w:t>
            </w:r>
            <w:r w:rsidR="16177D1A" w:rsidRPr="44E0F867">
              <w:rPr>
                <w:sz w:val="18"/>
                <w:szCs w:val="18"/>
              </w:rPr>
              <w:t xml:space="preserve"> n</w:t>
            </w:r>
            <w:r w:rsidR="70A0B839" w:rsidRPr="44E0F867">
              <w:rPr>
                <w:sz w:val="18"/>
                <w:szCs w:val="18"/>
              </w:rPr>
              <w:t>owelizacj</w:t>
            </w:r>
            <w:r w:rsidR="610A6E75" w:rsidRPr="44E0F867">
              <w:rPr>
                <w:sz w:val="18"/>
                <w:szCs w:val="18"/>
              </w:rPr>
              <w:t>a</w:t>
            </w:r>
            <w:r w:rsidR="70A0B839" w:rsidRPr="44E0F867">
              <w:rPr>
                <w:sz w:val="18"/>
                <w:szCs w:val="18"/>
              </w:rPr>
              <w:t xml:space="preserve"> </w:t>
            </w:r>
            <w:r w:rsidR="2A7C0FDB" w:rsidRPr="44E0F867">
              <w:rPr>
                <w:sz w:val="18"/>
                <w:szCs w:val="18"/>
              </w:rPr>
              <w:t>“</w:t>
            </w:r>
            <w:r w:rsidR="70A0B839" w:rsidRPr="44E0F867">
              <w:rPr>
                <w:sz w:val="18"/>
                <w:szCs w:val="18"/>
              </w:rPr>
              <w:t xml:space="preserve">ustawy </w:t>
            </w:r>
            <w:r w:rsidR="120DC45C" w:rsidRPr="44E0F867">
              <w:rPr>
                <w:sz w:val="18"/>
                <w:szCs w:val="18"/>
              </w:rPr>
              <w:t>o z</w:t>
            </w:r>
            <w:r w:rsidR="70A0B839" w:rsidRPr="44E0F867">
              <w:rPr>
                <w:sz w:val="18"/>
                <w:szCs w:val="18"/>
              </w:rPr>
              <w:t xml:space="preserve">awodzie </w:t>
            </w:r>
            <w:r w:rsidR="001E41FA" w:rsidRPr="44E0F867">
              <w:rPr>
                <w:sz w:val="18"/>
                <w:szCs w:val="18"/>
              </w:rPr>
              <w:t>l</w:t>
            </w:r>
            <w:r w:rsidR="0F66F472" w:rsidRPr="44E0F867">
              <w:rPr>
                <w:sz w:val="18"/>
                <w:szCs w:val="18"/>
              </w:rPr>
              <w:t xml:space="preserve">ekarza i </w:t>
            </w:r>
            <w:r w:rsidR="78AF7DC8" w:rsidRPr="44E0F867">
              <w:rPr>
                <w:sz w:val="18"/>
                <w:szCs w:val="18"/>
              </w:rPr>
              <w:t>lekarza dentysty</w:t>
            </w:r>
            <w:r w:rsidR="70A0B839" w:rsidRPr="44E0F867">
              <w:rPr>
                <w:sz w:val="18"/>
                <w:szCs w:val="18"/>
              </w:rPr>
              <w:t>”</w:t>
            </w:r>
            <w:r w:rsidR="7F8C824F" w:rsidRPr="44E0F867">
              <w:rPr>
                <w:sz w:val="18"/>
                <w:szCs w:val="18"/>
              </w:rPr>
              <w:t xml:space="preserve"> </w:t>
            </w:r>
            <w:r w:rsidR="2846D224" w:rsidRPr="44E0F867">
              <w:rPr>
                <w:sz w:val="18"/>
                <w:szCs w:val="18"/>
              </w:rPr>
              <w:t xml:space="preserve">na pewnym etapie prac legislacyjnych propozycja tekstu ustawy </w:t>
            </w:r>
            <w:r w:rsidR="7F8C824F" w:rsidRPr="44E0F867">
              <w:rPr>
                <w:sz w:val="18"/>
                <w:szCs w:val="18"/>
              </w:rPr>
              <w:t>nakładała duże ograniczenia na ponowne wykorzystanie danych genetycznych człowieka - co oznaczałob</w:t>
            </w:r>
            <w:r w:rsidR="27C5DA3E" w:rsidRPr="44E0F867">
              <w:rPr>
                <w:sz w:val="18"/>
                <w:szCs w:val="18"/>
              </w:rPr>
              <w:t xml:space="preserve">y duży negatywny wpływ na osiągnięcie </w:t>
            </w:r>
            <w:r w:rsidR="1361477D" w:rsidRPr="44E0F867">
              <w:rPr>
                <w:sz w:val="18"/>
                <w:szCs w:val="18"/>
              </w:rPr>
              <w:t>zadeklarowanych</w:t>
            </w:r>
            <w:r w:rsidR="27C5DA3E" w:rsidRPr="44E0F867">
              <w:rPr>
                <w:sz w:val="18"/>
                <w:szCs w:val="18"/>
              </w:rPr>
              <w:t xml:space="preserve"> wskaźników w zakresie wykorzystania danyc</w:t>
            </w:r>
            <w:r w:rsidR="3431C0EE" w:rsidRPr="44E0F867">
              <w:rPr>
                <w:sz w:val="18"/>
                <w:szCs w:val="18"/>
              </w:rPr>
              <w:t>h</w:t>
            </w:r>
            <w:r w:rsidR="1A152DCE" w:rsidRPr="44E0F867">
              <w:rPr>
                <w:sz w:val="18"/>
                <w:szCs w:val="18"/>
              </w:rPr>
              <w:t xml:space="preserve">. </w:t>
            </w:r>
            <w:r w:rsidR="3413E668" w:rsidRPr="44E0F867">
              <w:rPr>
                <w:sz w:val="18"/>
                <w:szCs w:val="18"/>
              </w:rPr>
              <w:t>Na szczęście na etapie konsultacji społecznych udało się zmieć propozycję niekorzystnych zapisów.</w:t>
            </w:r>
            <w:r w:rsidR="3431C0EE" w:rsidRPr="44E0F867">
              <w:rPr>
                <w:sz w:val="18"/>
                <w:szCs w:val="18"/>
              </w:rPr>
              <w:t xml:space="preserve"> </w:t>
            </w:r>
          </w:p>
          <w:p w14:paraId="3D72E765" w14:textId="081AF5E5" w:rsidR="007A0A3D" w:rsidRPr="00E21984" w:rsidRDefault="007A0A3D" w:rsidP="44E0F867">
            <w:pPr>
              <w:jc w:val="both"/>
              <w:rPr>
                <w:sz w:val="18"/>
                <w:szCs w:val="18"/>
              </w:rPr>
            </w:pPr>
          </w:p>
        </w:tc>
      </w:tr>
      <w:tr w:rsidR="00813FEF" w:rsidRPr="002450C4" w14:paraId="742D6567" w14:textId="77777777" w:rsidTr="44E0F867">
        <w:tc>
          <w:tcPr>
            <w:tcW w:w="480" w:type="dxa"/>
          </w:tcPr>
          <w:p w14:paraId="0E27B00A" w14:textId="77777777" w:rsidR="00813FEF" w:rsidRPr="002450C4" w:rsidRDefault="00813FEF" w:rsidP="0058262E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614F8DC0" w14:textId="77777777" w:rsidR="00813FEF" w:rsidRDefault="009D3D41" w:rsidP="009D3D4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U</w:t>
            </w:r>
            <w:r w:rsidR="00813FEF">
              <w:rPr>
                <w:sz w:val="18"/>
                <w:szCs w:val="20"/>
              </w:rPr>
              <w:t xml:space="preserve">zyskane korzyści </w:t>
            </w:r>
          </w:p>
        </w:tc>
        <w:tc>
          <w:tcPr>
            <w:tcW w:w="6232" w:type="dxa"/>
          </w:tcPr>
          <w:p w14:paraId="183F19F8" w14:textId="123BD7BD" w:rsidR="00B83D3D" w:rsidRDefault="00B83D3D" w:rsidP="44E0F86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wyniku realizacji projektu powstało repozytorium danych zawierających </w:t>
            </w:r>
            <w:proofErr w:type="spellStart"/>
            <w:r>
              <w:rPr>
                <w:sz w:val="18"/>
                <w:szCs w:val="18"/>
              </w:rPr>
              <w:t>zdigitalizowane</w:t>
            </w:r>
            <w:proofErr w:type="spellEnd"/>
            <w:r>
              <w:rPr>
                <w:sz w:val="18"/>
                <w:szCs w:val="18"/>
              </w:rPr>
              <w:t xml:space="preserve"> zasoby Katedry Antropologii – kolekcja osteologiczna oraz zasoby </w:t>
            </w:r>
            <w:proofErr w:type="spellStart"/>
            <w:r w:rsidR="009A5099">
              <w:rPr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iobanku</w:t>
            </w:r>
            <w:proofErr w:type="spellEnd"/>
            <w:r>
              <w:rPr>
                <w:sz w:val="18"/>
                <w:szCs w:val="18"/>
              </w:rPr>
              <w:t xml:space="preserve"> – dane </w:t>
            </w:r>
            <w:proofErr w:type="spellStart"/>
            <w:r>
              <w:rPr>
                <w:sz w:val="18"/>
                <w:szCs w:val="18"/>
              </w:rPr>
              <w:t>genomiczne</w:t>
            </w:r>
            <w:proofErr w:type="spellEnd"/>
            <w:r>
              <w:rPr>
                <w:sz w:val="18"/>
                <w:szCs w:val="18"/>
              </w:rPr>
              <w:t xml:space="preserve"> dotyczące populacji Polskiej. </w:t>
            </w:r>
            <w:r w:rsidR="009A5099">
              <w:rPr>
                <w:sz w:val="18"/>
                <w:szCs w:val="18"/>
              </w:rPr>
              <w:t xml:space="preserve">Wszystkie udostępnione są na zasadzie otwartego dostępu w repozytorium naukowym oraz część w repozytorium popularno-naukowym. </w:t>
            </w:r>
          </w:p>
          <w:p w14:paraId="00F1A796" w14:textId="77777777" w:rsidR="009A5099" w:rsidRDefault="009A5099" w:rsidP="44E0F867">
            <w:pPr>
              <w:jc w:val="both"/>
              <w:rPr>
                <w:sz w:val="18"/>
                <w:szCs w:val="18"/>
              </w:rPr>
            </w:pPr>
          </w:p>
          <w:p w14:paraId="65CD1205" w14:textId="4DF056CF" w:rsidR="009D3D41" w:rsidRPr="00554E6C" w:rsidRDefault="0C28E4ED" w:rsidP="44E0F867">
            <w:pPr>
              <w:jc w:val="both"/>
              <w:rPr>
                <w:sz w:val="18"/>
                <w:szCs w:val="18"/>
              </w:rPr>
            </w:pPr>
            <w:r w:rsidRPr="44E0F867">
              <w:rPr>
                <w:sz w:val="18"/>
                <w:szCs w:val="18"/>
              </w:rPr>
              <w:t xml:space="preserve">W wyniku realizacji projektu doposażone zostały laboratoria Pracowni </w:t>
            </w:r>
            <w:proofErr w:type="spellStart"/>
            <w:r w:rsidRPr="44E0F867">
              <w:rPr>
                <w:sz w:val="18"/>
                <w:szCs w:val="18"/>
              </w:rPr>
              <w:t>Biobank</w:t>
            </w:r>
            <w:proofErr w:type="spellEnd"/>
            <w:r w:rsidRPr="44E0F867">
              <w:rPr>
                <w:sz w:val="18"/>
                <w:szCs w:val="18"/>
              </w:rPr>
              <w:t xml:space="preserve"> w sprzęt laboratoryjny co przekłada się na wyższą jakość uzyskiwanych rezultatów oraz lepszą wydajność zespołu badawczego.</w:t>
            </w:r>
          </w:p>
          <w:p w14:paraId="5D2BAF8B" w14:textId="446E28CC" w:rsidR="009D3D41" w:rsidRPr="00554E6C" w:rsidRDefault="009D3D41" w:rsidP="44E0F867">
            <w:pPr>
              <w:jc w:val="both"/>
              <w:rPr>
                <w:sz w:val="18"/>
                <w:szCs w:val="18"/>
              </w:rPr>
            </w:pPr>
          </w:p>
          <w:p w14:paraId="4F9D0785" w14:textId="308F8C04" w:rsidR="009D3D41" w:rsidRPr="00554E6C" w:rsidRDefault="4C63B219" w:rsidP="44E0F867">
            <w:pPr>
              <w:jc w:val="both"/>
              <w:rPr>
                <w:sz w:val="18"/>
                <w:szCs w:val="18"/>
              </w:rPr>
            </w:pPr>
            <w:r w:rsidRPr="44E0F867">
              <w:rPr>
                <w:sz w:val="18"/>
                <w:szCs w:val="18"/>
              </w:rPr>
              <w:t>Wytworzone w</w:t>
            </w:r>
            <w:r w:rsidR="25D3C070" w:rsidRPr="44E0F867">
              <w:rPr>
                <w:sz w:val="18"/>
                <w:szCs w:val="18"/>
              </w:rPr>
              <w:t xml:space="preserve"> trakcie trwania</w:t>
            </w:r>
            <w:r w:rsidRPr="44E0F867">
              <w:rPr>
                <w:sz w:val="18"/>
                <w:szCs w:val="18"/>
              </w:rPr>
              <w:t xml:space="preserve"> projektu </w:t>
            </w:r>
            <w:r w:rsidR="7B0C4933" w:rsidRPr="44E0F867">
              <w:rPr>
                <w:sz w:val="18"/>
                <w:szCs w:val="18"/>
              </w:rPr>
              <w:t>kompetencj</w:t>
            </w:r>
            <w:r w:rsidR="6D9571A2" w:rsidRPr="44E0F867">
              <w:rPr>
                <w:sz w:val="18"/>
                <w:szCs w:val="18"/>
              </w:rPr>
              <w:t>e</w:t>
            </w:r>
            <w:r w:rsidR="7B0C4933" w:rsidRPr="44E0F867">
              <w:rPr>
                <w:sz w:val="18"/>
                <w:szCs w:val="18"/>
              </w:rPr>
              <w:t xml:space="preserve"> w zakresie digitalizacji</w:t>
            </w:r>
            <w:r w:rsidR="1894D854" w:rsidRPr="44E0F867">
              <w:rPr>
                <w:sz w:val="18"/>
                <w:szCs w:val="18"/>
              </w:rPr>
              <w:t xml:space="preserve">/sekwencjonowania </w:t>
            </w:r>
            <w:r w:rsidR="7B0C4933" w:rsidRPr="44E0F867">
              <w:rPr>
                <w:sz w:val="18"/>
                <w:szCs w:val="18"/>
              </w:rPr>
              <w:t>Ludzkiego Materiału Biologicznego</w:t>
            </w:r>
            <w:r w:rsidR="64D6B682" w:rsidRPr="44E0F867">
              <w:rPr>
                <w:sz w:val="18"/>
                <w:szCs w:val="18"/>
              </w:rPr>
              <w:t xml:space="preserve"> przyczyniły się do </w:t>
            </w:r>
            <w:r w:rsidR="0354DE0E" w:rsidRPr="44E0F867">
              <w:rPr>
                <w:sz w:val="18"/>
                <w:szCs w:val="18"/>
              </w:rPr>
              <w:t xml:space="preserve">utworzenia centrum digitalizacji </w:t>
            </w:r>
            <w:r w:rsidR="5F16D276" w:rsidRPr="44E0F867">
              <w:rPr>
                <w:sz w:val="18"/>
                <w:szCs w:val="18"/>
              </w:rPr>
              <w:t>Genomów</w:t>
            </w:r>
            <w:r w:rsidR="0354DE0E" w:rsidRPr="44E0F867">
              <w:rPr>
                <w:sz w:val="18"/>
                <w:szCs w:val="18"/>
              </w:rPr>
              <w:t>,</w:t>
            </w:r>
            <w:r w:rsidR="5AD78189" w:rsidRPr="44E0F867">
              <w:rPr>
                <w:sz w:val="18"/>
                <w:szCs w:val="18"/>
              </w:rPr>
              <w:t xml:space="preserve"> dzięki czemu, Pracownia </w:t>
            </w:r>
            <w:proofErr w:type="spellStart"/>
            <w:r w:rsidR="5AD78189" w:rsidRPr="44E0F867">
              <w:rPr>
                <w:sz w:val="18"/>
                <w:szCs w:val="18"/>
              </w:rPr>
              <w:t>BIobank</w:t>
            </w:r>
            <w:proofErr w:type="spellEnd"/>
            <w:r w:rsidR="5AD78189" w:rsidRPr="44E0F867">
              <w:rPr>
                <w:sz w:val="18"/>
                <w:szCs w:val="18"/>
              </w:rPr>
              <w:t xml:space="preserve"> UŁ jest w stanie wspierać realizację projektów z obszaru genetyki/geno</w:t>
            </w:r>
            <w:r w:rsidR="657D68DA" w:rsidRPr="44E0F867">
              <w:rPr>
                <w:sz w:val="18"/>
                <w:szCs w:val="18"/>
              </w:rPr>
              <w:t>miki realizowanych przez inne instytucje. Zgromadzon</w:t>
            </w:r>
            <w:r w:rsidR="40CC3C6B" w:rsidRPr="44E0F867">
              <w:rPr>
                <w:sz w:val="18"/>
                <w:szCs w:val="18"/>
              </w:rPr>
              <w:t>e w jednym miejscu</w:t>
            </w:r>
            <w:r w:rsidR="657D68DA" w:rsidRPr="44E0F867">
              <w:rPr>
                <w:sz w:val="18"/>
                <w:szCs w:val="18"/>
              </w:rPr>
              <w:t xml:space="preserve"> aparat</w:t>
            </w:r>
            <w:r w:rsidR="4570BD31" w:rsidRPr="44E0F867">
              <w:rPr>
                <w:sz w:val="18"/>
                <w:szCs w:val="18"/>
              </w:rPr>
              <w:t>ura i komp</w:t>
            </w:r>
            <w:r w:rsidR="68C76EAA" w:rsidRPr="44E0F867">
              <w:rPr>
                <w:sz w:val="18"/>
                <w:szCs w:val="18"/>
              </w:rPr>
              <w:t xml:space="preserve">etencje przyczyniają się do </w:t>
            </w:r>
            <w:r w:rsidR="64D6B682" w:rsidRPr="44E0F867">
              <w:rPr>
                <w:sz w:val="18"/>
                <w:szCs w:val="18"/>
              </w:rPr>
              <w:t>uzyskania kolejn</w:t>
            </w:r>
            <w:r w:rsidR="5C609CD9" w:rsidRPr="44E0F867">
              <w:rPr>
                <w:sz w:val="18"/>
                <w:szCs w:val="18"/>
              </w:rPr>
              <w:t xml:space="preserve">ych </w:t>
            </w:r>
            <w:r w:rsidR="64D6B682" w:rsidRPr="44E0F867">
              <w:rPr>
                <w:sz w:val="18"/>
                <w:szCs w:val="18"/>
              </w:rPr>
              <w:t>grant</w:t>
            </w:r>
            <w:r w:rsidR="64E30567" w:rsidRPr="44E0F867">
              <w:rPr>
                <w:sz w:val="18"/>
                <w:szCs w:val="18"/>
              </w:rPr>
              <w:t xml:space="preserve">ów </w:t>
            </w:r>
            <w:proofErr w:type="gramStart"/>
            <w:r w:rsidR="64E30567" w:rsidRPr="44E0F867">
              <w:rPr>
                <w:sz w:val="18"/>
                <w:szCs w:val="18"/>
              </w:rPr>
              <w:t>m.in..</w:t>
            </w:r>
            <w:proofErr w:type="gramEnd"/>
            <w:r w:rsidR="64D6B682" w:rsidRPr="44E0F867">
              <w:rPr>
                <w:sz w:val="18"/>
                <w:szCs w:val="18"/>
              </w:rPr>
              <w:t xml:space="preserve"> w ramach POPC</w:t>
            </w:r>
            <w:r w:rsidR="05263309" w:rsidRPr="44E0F867">
              <w:rPr>
                <w:sz w:val="18"/>
                <w:szCs w:val="18"/>
              </w:rPr>
              <w:t xml:space="preserve"> “Genomowa Mapa Polski w otwartym dostępie</w:t>
            </w:r>
            <w:r w:rsidR="6C0462A9" w:rsidRPr="44E0F867">
              <w:rPr>
                <w:sz w:val="18"/>
                <w:szCs w:val="18"/>
              </w:rPr>
              <w:t xml:space="preserve"> - </w:t>
            </w:r>
            <w:r w:rsidR="78C1C517" w:rsidRPr="44E0F867">
              <w:rPr>
                <w:sz w:val="18"/>
                <w:szCs w:val="18"/>
              </w:rPr>
              <w:t xml:space="preserve">digitalizacja zasobów </w:t>
            </w:r>
            <w:proofErr w:type="spellStart"/>
            <w:r w:rsidR="78C1C517" w:rsidRPr="44E0F867">
              <w:rPr>
                <w:sz w:val="18"/>
                <w:szCs w:val="18"/>
              </w:rPr>
              <w:t>biomolekularnych</w:t>
            </w:r>
            <w:proofErr w:type="spellEnd"/>
            <w:r w:rsidR="78C1C517" w:rsidRPr="44E0F867">
              <w:rPr>
                <w:sz w:val="18"/>
                <w:szCs w:val="18"/>
              </w:rPr>
              <w:t xml:space="preserve"> pracowni </w:t>
            </w:r>
            <w:proofErr w:type="spellStart"/>
            <w:r w:rsidR="5BFA3A9D" w:rsidRPr="44E0F867">
              <w:rPr>
                <w:sz w:val="18"/>
                <w:szCs w:val="18"/>
              </w:rPr>
              <w:t>Biobank</w:t>
            </w:r>
            <w:proofErr w:type="spellEnd"/>
            <w:r w:rsidR="5BFA3A9D" w:rsidRPr="44E0F867">
              <w:rPr>
                <w:sz w:val="18"/>
                <w:szCs w:val="18"/>
              </w:rPr>
              <w:t xml:space="preserve"> </w:t>
            </w:r>
            <w:r w:rsidR="78C1C517" w:rsidRPr="44E0F867">
              <w:rPr>
                <w:sz w:val="18"/>
                <w:szCs w:val="18"/>
              </w:rPr>
              <w:t>UŁ</w:t>
            </w:r>
            <w:r w:rsidR="05263309" w:rsidRPr="44E0F867">
              <w:rPr>
                <w:sz w:val="18"/>
                <w:szCs w:val="18"/>
              </w:rPr>
              <w:t>”</w:t>
            </w:r>
            <w:r w:rsidR="7E17575F" w:rsidRPr="44E0F867">
              <w:rPr>
                <w:sz w:val="18"/>
                <w:szCs w:val="18"/>
              </w:rPr>
              <w:t xml:space="preserve"> co pozw</w:t>
            </w:r>
            <w:r w:rsidR="56922C2B" w:rsidRPr="44E0F867">
              <w:rPr>
                <w:sz w:val="18"/>
                <w:szCs w:val="18"/>
              </w:rPr>
              <w:t>oli na d</w:t>
            </w:r>
            <w:r w:rsidR="009A5099">
              <w:rPr>
                <w:sz w:val="18"/>
                <w:szCs w:val="18"/>
              </w:rPr>
              <w:t>al</w:t>
            </w:r>
            <w:r w:rsidR="56922C2B" w:rsidRPr="44E0F867">
              <w:rPr>
                <w:sz w:val="18"/>
                <w:szCs w:val="18"/>
              </w:rPr>
              <w:t xml:space="preserve">szą rozbudowę zasobów i </w:t>
            </w:r>
            <w:r w:rsidR="7E17575F" w:rsidRPr="44E0F867">
              <w:rPr>
                <w:sz w:val="18"/>
                <w:szCs w:val="18"/>
              </w:rPr>
              <w:t>unowocześnienie parku maszynowego</w:t>
            </w:r>
            <w:r w:rsidR="1F3ADDCF" w:rsidRPr="44E0F867">
              <w:rPr>
                <w:sz w:val="18"/>
                <w:szCs w:val="18"/>
              </w:rPr>
              <w:t>.</w:t>
            </w:r>
            <w:r w:rsidR="55F2812B" w:rsidRPr="44E0F867">
              <w:rPr>
                <w:sz w:val="18"/>
                <w:szCs w:val="18"/>
              </w:rPr>
              <w:t xml:space="preserve"> W konsekwencji oznacza </w:t>
            </w:r>
            <w:r w:rsidR="0B16D065" w:rsidRPr="44E0F867">
              <w:rPr>
                <w:sz w:val="18"/>
                <w:szCs w:val="18"/>
              </w:rPr>
              <w:t>możliwość sekwencjonowania i wykonywania</w:t>
            </w:r>
            <w:r w:rsidR="6C96FE52" w:rsidRPr="44E0F867">
              <w:rPr>
                <w:sz w:val="18"/>
                <w:szCs w:val="18"/>
              </w:rPr>
              <w:t xml:space="preserve"> zaawansowanych</w:t>
            </w:r>
            <w:r w:rsidR="0B16D065" w:rsidRPr="44E0F867">
              <w:rPr>
                <w:sz w:val="18"/>
                <w:szCs w:val="18"/>
              </w:rPr>
              <w:t xml:space="preserve"> analiz genomu ludzkiego w kraju (brak konieczności </w:t>
            </w:r>
            <w:r w:rsidR="43551F32" w:rsidRPr="44E0F867">
              <w:rPr>
                <w:sz w:val="18"/>
                <w:szCs w:val="18"/>
              </w:rPr>
              <w:t xml:space="preserve">przekazywania </w:t>
            </w:r>
            <w:r w:rsidR="3E95B173" w:rsidRPr="44E0F867">
              <w:rPr>
                <w:sz w:val="18"/>
                <w:szCs w:val="18"/>
              </w:rPr>
              <w:t>“</w:t>
            </w:r>
            <w:r w:rsidR="43551F32" w:rsidRPr="44E0F867">
              <w:rPr>
                <w:sz w:val="18"/>
                <w:szCs w:val="18"/>
              </w:rPr>
              <w:t>Polskiego DNA</w:t>
            </w:r>
            <w:r w:rsidR="7A91E4DC" w:rsidRPr="44E0F867">
              <w:rPr>
                <w:sz w:val="18"/>
                <w:szCs w:val="18"/>
              </w:rPr>
              <w:t>”</w:t>
            </w:r>
            <w:r w:rsidR="43551F32" w:rsidRPr="44E0F867">
              <w:rPr>
                <w:sz w:val="18"/>
                <w:szCs w:val="18"/>
              </w:rPr>
              <w:t xml:space="preserve"> poza granice kr</w:t>
            </w:r>
            <w:r w:rsidR="26F77538" w:rsidRPr="44E0F867">
              <w:rPr>
                <w:sz w:val="18"/>
                <w:szCs w:val="18"/>
              </w:rPr>
              <w:t>a</w:t>
            </w:r>
            <w:r w:rsidR="43551F32" w:rsidRPr="44E0F867">
              <w:rPr>
                <w:sz w:val="18"/>
                <w:szCs w:val="18"/>
              </w:rPr>
              <w:t>ju</w:t>
            </w:r>
            <w:r w:rsidR="0B16D065" w:rsidRPr="44E0F867">
              <w:rPr>
                <w:sz w:val="18"/>
                <w:szCs w:val="18"/>
              </w:rPr>
              <w:t>)</w:t>
            </w:r>
            <w:r w:rsidR="27E00C70" w:rsidRPr="44E0F867">
              <w:rPr>
                <w:sz w:val="18"/>
                <w:szCs w:val="18"/>
              </w:rPr>
              <w:t>.</w:t>
            </w:r>
          </w:p>
          <w:p w14:paraId="2548B1EF" w14:textId="5A19FD95" w:rsidR="009D3D41" w:rsidRPr="00554E6C" w:rsidRDefault="009D3D41" w:rsidP="44E0F867">
            <w:pPr>
              <w:jc w:val="both"/>
              <w:rPr>
                <w:sz w:val="18"/>
                <w:szCs w:val="18"/>
              </w:rPr>
            </w:pPr>
          </w:p>
          <w:p w14:paraId="32A3B2ED" w14:textId="11273F51" w:rsidR="009D3D41" w:rsidRPr="00554E6C" w:rsidRDefault="4757F55F" w:rsidP="44E0F867">
            <w:pPr>
              <w:jc w:val="both"/>
              <w:rPr>
                <w:sz w:val="18"/>
                <w:szCs w:val="18"/>
              </w:rPr>
            </w:pPr>
            <w:r w:rsidRPr="44E0F867">
              <w:rPr>
                <w:sz w:val="18"/>
                <w:szCs w:val="18"/>
              </w:rPr>
              <w:t>W ramach projektu wygenerowane zostały dane, które posłużą w dalszym rozwoju wiedzy. Tak utworzone repozytorium jest dostępne dla naukowców i jeśli będzie aktywnie przez nich wykorzystywane przyczyni się do obniżenia kosztów badań. Prowadzenie eksperymentów typu “</w:t>
            </w:r>
            <w:proofErr w:type="spellStart"/>
            <w:r w:rsidRPr="44E0F867">
              <w:rPr>
                <w:sz w:val="18"/>
                <w:szCs w:val="18"/>
              </w:rPr>
              <w:t>case-control</w:t>
            </w:r>
            <w:proofErr w:type="spellEnd"/>
            <w:r w:rsidRPr="44E0F867">
              <w:rPr>
                <w:sz w:val="18"/>
                <w:szCs w:val="18"/>
              </w:rPr>
              <w:t>” pozwoli zaoszczędzić środki potrzebne na zgromadzenie grupy kontrolnej – odpowiedni zbiór danych już istniejącego zbioru.</w:t>
            </w:r>
            <w:r w:rsidR="009A5099">
              <w:rPr>
                <w:sz w:val="18"/>
                <w:szCs w:val="18"/>
              </w:rPr>
              <w:t xml:space="preserve"> W oparciu o wygenerowane dane już zostały przeprowadzone badania naukowe których rezultaty opublikowane zostały w renomowanych czasopismach </w:t>
            </w:r>
            <w:r w:rsidR="001624AC">
              <w:rPr>
                <w:sz w:val="18"/>
                <w:szCs w:val="18"/>
              </w:rPr>
              <w:t>– „</w:t>
            </w:r>
            <w:proofErr w:type="spellStart"/>
            <w:r w:rsidR="001624AC" w:rsidRPr="001624AC">
              <w:rPr>
                <w:sz w:val="18"/>
                <w:szCs w:val="18"/>
              </w:rPr>
              <w:t>Frontiers</w:t>
            </w:r>
            <w:proofErr w:type="spellEnd"/>
            <w:r w:rsidR="001624AC" w:rsidRPr="001624AC">
              <w:rPr>
                <w:sz w:val="18"/>
                <w:szCs w:val="18"/>
              </w:rPr>
              <w:t xml:space="preserve"> in Genetics</w:t>
            </w:r>
            <w:r w:rsidR="001624AC">
              <w:rPr>
                <w:sz w:val="18"/>
                <w:szCs w:val="18"/>
              </w:rPr>
              <w:t>” oraz „</w:t>
            </w:r>
            <w:proofErr w:type="spellStart"/>
            <w:r w:rsidR="001624AC" w:rsidRPr="001624AC">
              <w:rPr>
                <w:sz w:val="18"/>
                <w:szCs w:val="18"/>
              </w:rPr>
              <w:t>European</w:t>
            </w:r>
            <w:proofErr w:type="spellEnd"/>
            <w:r w:rsidR="001624AC" w:rsidRPr="001624AC">
              <w:rPr>
                <w:sz w:val="18"/>
                <w:szCs w:val="18"/>
              </w:rPr>
              <w:t xml:space="preserve"> </w:t>
            </w:r>
            <w:proofErr w:type="spellStart"/>
            <w:r w:rsidR="001624AC" w:rsidRPr="001624AC">
              <w:rPr>
                <w:sz w:val="18"/>
                <w:szCs w:val="18"/>
              </w:rPr>
              <w:t>Journal</w:t>
            </w:r>
            <w:proofErr w:type="spellEnd"/>
            <w:r w:rsidR="001624AC" w:rsidRPr="001624AC">
              <w:rPr>
                <w:sz w:val="18"/>
                <w:szCs w:val="18"/>
              </w:rPr>
              <w:t xml:space="preserve"> of </w:t>
            </w:r>
            <w:proofErr w:type="spellStart"/>
            <w:r w:rsidR="001624AC" w:rsidRPr="001624AC">
              <w:rPr>
                <w:sz w:val="18"/>
                <w:szCs w:val="18"/>
              </w:rPr>
              <w:t>HumanGenetics</w:t>
            </w:r>
            <w:proofErr w:type="spellEnd"/>
            <w:r w:rsidR="001624AC">
              <w:rPr>
                <w:sz w:val="18"/>
                <w:szCs w:val="18"/>
              </w:rPr>
              <w:t>”</w:t>
            </w:r>
          </w:p>
          <w:p w14:paraId="6336B070" w14:textId="77052C6C" w:rsidR="009D3D41" w:rsidRPr="00554E6C" w:rsidRDefault="009D3D41" w:rsidP="44E0F867">
            <w:pPr>
              <w:jc w:val="both"/>
              <w:rPr>
                <w:sz w:val="18"/>
                <w:szCs w:val="18"/>
              </w:rPr>
            </w:pPr>
          </w:p>
          <w:p w14:paraId="117FAA3C" w14:textId="430EDAEF" w:rsidR="009D3D41" w:rsidRDefault="6A8C421B" w:rsidP="44E0F867">
            <w:pPr>
              <w:jc w:val="both"/>
              <w:rPr>
                <w:sz w:val="18"/>
                <w:szCs w:val="18"/>
              </w:rPr>
            </w:pPr>
            <w:r w:rsidRPr="44E0F867">
              <w:rPr>
                <w:sz w:val="18"/>
                <w:szCs w:val="18"/>
              </w:rPr>
              <w:t>Realizacja projektu przyczyniła się również do popularyzacji nauki. Projekt okazał się na tyle ciekawy, iż zainteresowały się ni</w:t>
            </w:r>
            <w:r w:rsidR="7DA76D88" w:rsidRPr="44E0F867">
              <w:rPr>
                <w:sz w:val="18"/>
                <w:szCs w:val="18"/>
              </w:rPr>
              <w:t>m liczne media</w:t>
            </w:r>
            <w:r w:rsidR="759AE257" w:rsidRPr="44E0F867">
              <w:rPr>
                <w:sz w:val="18"/>
                <w:szCs w:val="18"/>
              </w:rPr>
              <w:t xml:space="preserve">, m.in. informacje o projekcie zostały wyemitowane w ogólnopolskich stacjach telewizyjnych TVP, TVN, </w:t>
            </w:r>
            <w:r w:rsidR="7FB5DB99" w:rsidRPr="44E0F867">
              <w:rPr>
                <w:sz w:val="18"/>
                <w:szCs w:val="18"/>
              </w:rPr>
              <w:t xml:space="preserve">lokalnym oddziale TVP3 Łódź, </w:t>
            </w:r>
            <w:r w:rsidR="6BE59751" w:rsidRPr="44E0F867">
              <w:rPr>
                <w:sz w:val="18"/>
                <w:szCs w:val="18"/>
              </w:rPr>
              <w:t xml:space="preserve">licznych </w:t>
            </w:r>
            <w:r w:rsidR="7FB5DB99" w:rsidRPr="44E0F867">
              <w:rPr>
                <w:sz w:val="18"/>
                <w:szCs w:val="18"/>
              </w:rPr>
              <w:t xml:space="preserve">stacjach radiowych m.in. </w:t>
            </w:r>
            <w:r w:rsidR="41C761BB" w:rsidRPr="44E0F867">
              <w:rPr>
                <w:sz w:val="18"/>
                <w:szCs w:val="18"/>
              </w:rPr>
              <w:t>P</w:t>
            </w:r>
            <w:r w:rsidR="7FB5DB99" w:rsidRPr="44E0F867">
              <w:rPr>
                <w:sz w:val="18"/>
                <w:szCs w:val="18"/>
              </w:rPr>
              <w:t xml:space="preserve">olskie </w:t>
            </w:r>
            <w:r w:rsidR="6C2FECE7" w:rsidRPr="44E0F867">
              <w:rPr>
                <w:sz w:val="18"/>
                <w:szCs w:val="18"/>
              </w:rPr>
              <w:t>R</w:t>
            </w:r>
            <w:r w:rsidR="7FB5DB99" w:rsidRPr="44E0F867">
              <w:rPr>
                <w:sz w:val="18"/>
                <w:szCs w:val="18"/>
              </w:rPr>
              <w:t>adi</w:t>
            </w:r>
            <w:r w:rsidR="79B45243" w:rsidRPr="44E0F867">
              <w:rPr>
                <w:sz w:val="18"/>
                <w:szCs w:val="18"/>
              </w:rPr>
              <w:t xml:space="preserve">o, </w:t>
            </w:r>
            <w:r w:rsidR="27A37EDB" w:rsidRPr="44E0F867">
              <w:rPr>
                <w:sz w:val="18"/>
                <w:szCs w:val="18"/>
              </w:rPr>
              <w:t xml:space="preserve">Radio ZET, Radio Złote Przeboje, </w:t>
            </w:r>
            <w:proofErr w:type="spellStart"/>
            <w:r w:rsidR="27A37EDB" w:rsidRPr="44E0F867">
              <w:rPr>
                <w:sz w:val="18"/>
                <w:szCs w:val="18"/>
              </w:rPr>
              <w:t>Antyradio</w:t>
            </w:r>
            <w:proofErr w:type="spellEnd"/>
            <w:r w:rsidR="27A37EDB" w:rsidRPr="44E0F867">
              <w:rPr>
                <w:sz w:val="18"/>
                <w:szCs w:val="18"/>
              </w:rPr>
              <w:t xml:space="preserve">. </w:t>
            </w:r>
            <w:r w:rsidR="24A81841" w:rsidRPr="44E0F867">
              <w:rPr>
                <w:sz w:val="18"/>
                <w:szCs w:val="18"/>
              </w:rPr>
              <w:t>O postępach w realizacj</w:t>
            </w:r>
            <w:r w:rsidR="4E913D01" w:rsidRPr="44E0F867">
              <w:rPr>
                <w:sz w:val="18"/>
                <w:szCs w:val="18"/>
              </w:rPr>
              <w:t>i</w:t>
            </w:r>
            <w:r w:rsidR="24A81841" w:rsidRPr="44E0F867">
              <w:rPr>
                <w:sz w:val="18"/>
                <w:szCs w:val="18"/>
              </w:rPr>
              <w:t xml:space="preserve"> projektu donosiły również liczne portale i wydania intern</w:t>
            </w:r>
            <w:r w:rsidR="582BF346" w:rsidRPr="44E0F867">
              <w:rPr>
                <w:sz w:val="18"/>
                <w:szCs w:val="18"/>
              </w:rPr>
              <w:t>e</w:t>
            </w:r>
            <w:r w:rsidR="24A81841" w:rsidRPr="44E0F867">
              <w:rPr>
                <w:sz w:val="18"/>
                <w:szCs w:val="18"/>
              </w:rPr>
              <w:t xml:space="preserve">towe ogólnopolskich i lokalnych gazet. Projekt został nawet doceniony przez </w:t>
            </w:r>
            <w:proofErr w:type="spellStart"/>
            <w:r w:rsidR="24A81841" w:rsidRPr="44E0F867">
              <w:rPr>
                <w:sz w:val="18"/>
                <w:szCs w:val="18"/>
              </w:rPr>
              <w:t>National</w:t>
            </w:r>
            <w:proofErr w:type="spellEnd"/>
            <w:r w:rsidR="24A81841" w:rsidRPr="44E0F867">
              <w:rPr>
                <w:sz w:val="18"/>
                <w:szCs w:val="18"/>
              </w:rPr>
              <w:t xml:space="preserve"> </w:t>
            </w:r>
            <w:proofErr w:type="spellStart"/>
            <w:r w:rsidR="24A81841" w:rsidRPr="44E0F867">
              <w:rPr>
                <w:sz w:val="18"/>
                <w:szCs w:val="18"/>
              </w:rPr>
              <w:t>Geographic</w:t>
            </w:r>
            <w:proofErr w:type="spellEnd"/>
            <w:r w:rsidR="24A81841" w:rsidRPr="44E0F867">
              <w:rPr>
                <w:sz w:val="18"/>
                <w:szCs w:val="18"/>
              </w:rPr>
              <w:t xml:space="preserve"> - a</w:t>
            </w:r>
            <w:r w:rsidR="10438580" w:rsidRPr="44E0F867">
              <w:rPr>
                <w:sz w:val="18"/>
                <w:szCs w:val="18"/>
              </w:rPr>
              <w:t>rtykuł poświęcony projektowi ukazał się w tym roku w czerwcowym numerze czas</w:t>
            </w:r>
            <w:r w:rsidR="07CD4329" w:rsidRPr="44E0F867">
              <w:rPr>
                <w:sz w:val="18"/>
                <w:szCs w:val="18"/>
              </w:rPr>
              <w:t>o</w:t>
            </w:r>
            <w:r w:rsidR="10438580" w:rsidRPr="44E0F867">
              <w:rPr>
                <w:sz w:val="18"/>
                <w:szCs w:val="18"/>
              </w:rPr>
              <w:t>pisma.</w:t>
            </w:r>
            <w:r w:rsidR="39FE0DBB" w:rsidRPr="44E0F867">
              <w:rPr>
                <w:sz w:val="18"/>
                <w:szCs w:val="18"/>
              </w:rPr>
              <w:t xml:space="preserve"> Powstały nawet dzieła sztuki inspirowane realizacją projektu</w:t>
            </w:r>
            <w:r w:rsidR="36C3A5FC" w:rsidRPr="44E0F867">
              <w:rPr>
                <w:sz w:val="18"/>
                <w:szCs w:val="18"/>
              </w:rPr>
              <w:t>.</w:t>
            </w:r>
          </w:p>
          <w:p w14:paraId="2BF1D433" w14:textId="7766660A" w:rsidR="00E21984" w:rsidRDefault="00E21984" w:rsidP="44E0F867">
            <w:pPr>
              <w:jc w:val="both"/>
              <w:rPr>
                <w:i/>
                <w:iCs/>
                <w:color w:val="2E74B5" w:themeColor="accent1" w:themeShade="BF"/>
                <w:sz w:val="18"/>
                <w:szCs w:val="18"/>
              </w:rPr>
            </w:pPr>
          </w:p>
          <w:p w14:paraId="2E6592B5" w14:textId="5B267C36" w:rsidR="00E21984" w:rsidRPr="00445FBA" w:rsidRDefault="00E21984" w:rsidP="44E0F867">
            <w:pPr>
              <w:jc w:val="both"/>
              <w:rPr>
                <w:i/>
                <w:iCs/>
                <w:sz w:val="18"/>
                <w:szCs w:val="18"/>
              </w:rPr>
            </w:pPr>
            <w:r w:rsidRPr="00445FBA">
              <w:rPr>
                <w:i/>
                <w:iCs/>
                <w:sz w:val="18"/>
                <w:szCs w:val="18"/>
              </w:rPr>
              <w:t>Zgodnie z zapisami studium wykonalno</w:t>
            </w:r>
            <w:r w:rsidR="0011080A" w:rsidRPr="00445FBA">
              <w:rPr>
                <w:i/>
                <w:iCs/>
                <w:sz w:val="18"/>
                <w:szCs w:val="18"/>
              </w:rPr>
              <w:t xml:space="preserve">ści </w:t>
            </w:r>
            <w:r w:rsidR="00445FBA" w:rsidRPr="00445FBA">
              <w:rPr>
                <w:i/>
                <w:iCs/>
                <w:sz w:val="18"/>
                <w:szCs w:val="18"/>
              </w:rPr>
              <w:t>pomiar utylizacji produktów mierzony będzie dla:</w:t>
            </w:r>
          </w:p>
          <w:p w14:paraId="176F792F" w14:textId="08CD1B04" w:rsidR="00445FBA" w:rsidRPr="00445FBA" w:rsidRDefault="00445FBA" w:rsidP="00445FBA">
            <w:pPr>
              <w:pStyle w:val="ListParagraph"/>
              <w:numPr>
                <w:ilvl w:val="0"/>
                <w:numId w:val="11"/>
              </w:numPr>
              <w:jc w:val="both"/>
              <w:rPr>
                <w:i/>
                <w:iCs/>
                <w:sz w:val="18"/>
                <w:szCs w:val="18"/>
              </w:rPr>
            </w:pPr>
            <w:r w:rsidRPr="00445FBA">
              <w:rPr>
                <w:i/>
                <w:iCs/>
                <w:sz w:val="18"/>
                <w:szCs w:val="18"/>
              </w:rPr>
              <w:t>Publicznie dostępnej strony z wykorzystaniem systemu analizy ruchu dostarczonego przez zewnętrznego dostawcę</w:t>
            </w:r>
            <w:r>
              <w:rPr>
                <w:i/>
                <w:iCs/>
                <w:sz w:val="18"/>
                <w:szCs w:val="18"/>
              </w:rPr>
              <w:t xml:space="preserve"> np. Google.</w:t>
            </w:r>
          </w:p>
          <w:p w14:paraId="5442A63E" w14:textId="0E6C46ED" w:rsidR="00445FBA" w:rsidRPr="00445FBA" w:rsidRDefault="00445FBA" w:rsidP="00445FBA">
            <w:pPr>
              <w:pStyle w:val="ListParagraph"/>
              <w:numPr>
                <w:ilvl w:val="0"/>
                <w:numId w:val="11"/>
              </w:numPr>
              <w:jc w:val="both"/>
              <w:rPr>
                <w:i/>
                <w:iCs/>
                <w:color w:val="2E74B5" w:themeColor="accent1" w:themeShade="BF"/>
                <w:sz w:val="18"/>
                <w:szCs w:val="18"/>
              </w:rPr>
            </w:pPr>
            <w:r w:rsidRPr="00445FBA">
              <w:rPr>
                <w:i/>
                <w:iCs/>
                <w:sz w:val="18"/>
                <w:szCs w:val="18"/>
              </w:rPr>
              <w:t>Repozytorium danych naukowych na podstawie złożonych i pozytywnie zaopiniowanych wniosk</w:t>
            </w:r>
            <w:r>
              <w:rPr>
                <w:i/>
                <w:iCs/>
                <w:sz w:val="18"/>
                <w:szCs w:val="18"/>
              </w:rPr>
              <w:t>ów</w:t>
            </w:r>
            <w:r w:rsidRPr="00445FBA">
              <w:rPr>
                <w:i/>
                <w:iCs/>
                <w:sz w:val="18"/>
                <w:szCs w:val="18"/>
              </w:rPr>
              <w:t xml:space="preserve"> o dostęp do danych</w:t>
            </w:r>
            <w:r>
              <w:rPr>
                <w:i/>
                <w:iCs/>
                <w:color w:val="2E74B5" w:themeColor="accent1" w:themeShade="BF"/>
                <w:sz w:val="18"/>
                <w:szCs w:val="18"/>
              </w:rPr>
              <w:t>.</w:t>
            </w:r>
          </w:p>
          <w:p w14:paraId="425CF8DB" w14:textId="3F921C01" w:rsidR="00813FEF" w:rsidRPr="002450C4" w:rsidRDefault="00813FEF" w:rsidP="00BC120E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F82254" w:rsidRPr="002450C4" w14:paraId="428EF537" w14:textId="77777777" w:rsidTr="44E0F867">
        <w:tc>
          <w:tcPr>
            <w:tcW w:w="480" w:type="dxa"/>
          </w:tcPr>
          <w:p w14:paraId="60061E4C" w14:textId="77777777" w:rsidR="00F82254" w:rsidRPr="002450C4" w:rsidRDefault="00F82254" w:rsidP="0058262E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0CA8F983" w14:textId="77777777" w:rsidR="00F82254" w:rsidRDefault="00F82254" w:rsidP="00F8225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i r</w:t>
            </w:r>
            <w:r w:rsidRPr="00F82254">
              <w:rPr>
                <w:sz w:val="18"/>
                <w:szCs w:val="20"/>
              </w:rPr>
              <w:t>ejestry z jakimi zintegrował się wytworzony system w ramach realizacji projektu</w:t>
            </w:r>
          </w:p>
        </w:tc>
        <w:tc>
          <w:tcPr>
            <w:tcW w:w="6232" w:type="dxa"/>
          </w:tcPr>
          <w:p w14:paraId="2B015042" w14:textId="35EA0072" w:rsidR="00F82254" w:rsidRPr="006107FF" w:rsidRDefault="77BF84F3" w:rsidP="44E0F867">
            <w:pPr>
              <w:jc w:val="both"/>
              <w:rPr>
                <w:sz w:val="18"/>
                <w:szCs w:val="18"/>
              </w:rPr>
            </w:pPr>
            <w:r w:rsidRPr="006107FF">
              <w:rPr>
                <w:sz w:val="18"/>
                <w:szCs w:val="18"/>
              </w:rPr>
              <w:t xml:space="preserve">Beneficjent cały czas dąży do integracji z repozytorium kronika </w:t>
            </w:r>
            <w:r w:rsidR="00554E6C" w:rsidRPr="006107FF">
              <w:rPr>
                <w:sz w:val="18"/>
                <w:szCs w:val="18"/>
              </w:rPr>
              <w:t>KRONIK@</w:t>
            </w:r>
            <w:r w:rsidR="24B60D01" w:rsidRPr="006107FF">
              <w:rPr>
                <w:sz w:val="18"/>
                <w:szCs w:val="18"/>
              </w:rPr>
              <w:t xml:space="preserve"> - trwają prace nad </w:t>
            </w:r>
            <w:r w:rsidR="6E7803BC" w:rsidRPr="006107FF">
              <w:rPr>
                <w:sz w:val="18"/>
                <w:szCs w:val="18"/>
              </w:rPr>
              <w:t xml:space="preserve">skonfigurowaniem </w:t>
            </w:r>
            <w:r w:rsidR="0ECD83B5" w:rsidRPr="006107FF">
              <w:rPr>
                <w:sz w:val="18"/>
                <w:szCs w:val="18"/>
              </w:rPr>
              <w:t xml:space="preserve">protokołu </w:t>
            </w:r>
            <w:r w:rsidR="6E7803BC" w:rsidRPr="006107FF">
              <w:rPr>
                <w:sz w:val="18"/>
                <w:szCs w:val="18"/>
              </w:rPr>
              <w:t xml:space="preserve">wymiany danych </w:t>
            </w:r>
            <w:r w:rsidR="24B60D01" w:rsidRPr="006107FF">
              <w:rPr>
                <w:sz w:val="18"/>
                <w:szCs w:val="18"/>
              </w:rPr>
              <w:t xml:space="preserve">w oparciu </w:t>
            </w:r>
            <w:r w:rsidR="16B810A4" w:rsidRPr="006107FF">
              <w:rPr>
                <w:sz w:val="18"/>
                <w:szCs w:val="18"/>
              </w:rPr>
              <w:t>wersję testową repozytorium KRONIK@.</w:t>
            </w:r>
          </w:p>
          <w:p w14:paraId="1CEB6F52" w14:textId="714592F2" w:rsidR="00E21984" w:rsidRPr="006107FF" w:rsidRDefault="00376DB3" w:rsidP="00E21984">
            <w:pPr>
              <w:jc w:val="both"/>
              <w:rPr>
                <w:bCs/>
                <w:i/>
                <w:sz w:val="18"/>
                <w:szCs w:val="20"/>
              </w:rPr>
            </w:pPr>
            <w:r w:rsidRPr="006107FF">
              <w:rPr>
                <w:sz w:val="18"/>
                <w:szCs w:val="18"/>
              </w:rPr>
              <w:t>Beneficjent jest w stałym kontakcie z kierownikiem projektu KRONIK@</w:t>
            </w:r>
            <w:r w:rsidR="00E201A9" w:rsidRPr="006107FF">
              <w:rPr>
                <w:sz w:val="18"/>
                <w:szCs w:val="18"/>
              </w:rPr>
              <w:t>. W chwili obecnej trwa wybór operatora infrastruktury IT hostującej system repozytorium. Z uwagi na odwołania do KIO procedura się przedłuża. W chwili obecnej pers</w:t>
            </w:r>
            <w:r w:rsidR="00E21984" w:rsidRPr="006107FF">
              <w:rPr>
                <w:sz w:val="18"/>
                <w:szCs w:val="18"/>
              </w:rPr>
              <w:t xml:space="preserve">onel </w:t>
            </w:r>
            <w:r w:rsidR="00E201A9" w:rsidRPr="006107FF">
              <w:rPr>
                <w:sz w:val="18"/>
                <w:szCs w:val="18"/>
              </w:rPr>
              <w:t xml:space="preserve">Beneficjenta w oparciu dostarczone przez </w:t>
            </w:r>
            <w:r w:rsidR="00E21984" w:rsidRPr="006107FF">
              <w:rPr>
                <w:sz w:val="18"/>
                <w:szCs w:val="18"/>
              </w:rPr>
              <w:t xml:space="preserve">zespół projektu KRONIK@ środowisko </w:t>
            </w:r>
            <w:r w:rsidR="00E201A9" w:rsidRPr="006107FF">
              <w:rPr>
                <w:sz w:val="18"/>
                <w:szCs w:val="18"/>
              </w:rPr>
              <w:t>test</w:t>
            </w:r>
            <w:r w:rsidR="00E21984" w:rsidRPr="006107FF">
              <w:rPr>
                <w:sz w:val="18"/>
                <w:szCs w:val="18"/>
              </w:rPr>
              <w:t xml:space="preserve">owe pracuje nad integracją systemu KRONIK@ oraz systemu </w:t>
            </w:r>
            <w:proofErr w:type="spellStart"/>
            <w:r w:rsidR="00E21984" w:rsidRPr="006107FF">
              <w:rPr>
                <w:sz w:val="18"/>
                <w:szCs w:val="18"/>
              </w:rPr>
              <w:t>Beneficjna</w:t>
            </w:r>
            <w:proofErr w:type="spellEnd"/>
            <w:r w:rsidR="00E21984" w:rsidRPr="006107FF">
              <w:rPr>
                <w:sz w:val="18"/>
                <w:szCs w:val="18"/>
              </w:rPr>
              <w:t>.</w:t>
            </w:r>
            <w:r w:rsidR="00B94C8D" w:rsidRPr="006107FF">
              <w:rPr>
                <w:sz w:val="18"/>
                <w:szCs w:val="18"/>
              </w:rPr>
              <w:t xml:space="preserve">                                                                          </w:t>
            </w:r>
          </w:p>
          <w:p w14:paraId="6D130E1A" w14:textId="12D328BC" w:rsidR="00F82254" w:rsidRPr="006107FF" w:rsidRDefault="00F82254" w:rsidP="00DB70A5">
            <w:pPr>
              <w:jc w:val="both"/>
              <w:rPr>
                <w:bCs/>
                <w:i/>
                <w:sz w:val="18"/>
                <w:szCs w:val="20"/>
              </w:rPr>
            </w:pPr>
          </w:p>
        </w:tc>
      </w:tr>
      <w:tr w:rsidR="007C54F9" w:rsidRPr="002450C4" w14:paraId="46B58EAA" w14:textId="77777777" w:rsidTr="44E0F867">
        <w:tc>
          <w:tcPr>
            <w:tcW w:w="480" w:type="dxa"/>
          </w:tcPr>
          <w:p w14:paraId="44EAFD9C" w14:textId="77777777" w:rsidR="007C54F9" w:rsidRPr="002450C4" w:rsidRDefault="007C54F9" w:rsidP="0058262E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790BBB7E" w14:textId="77777777" w:rsidR="007C54F9" w:rsidRDefault="003B7BD6" w:rsidP="007C54F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Zapewnienie utrzymania projektu (w okresie trwałości)</w:t>
            </w:r>
          </w:p>
        </w:tc>
        <w:tc>
          <w:tcPr>
            <w:tcW w:w="6232" w:type="dxa"/>
          </w:tcPr>
          <w:p w14:paraId="736149BE" w14:textId="48ABAD0B" w:rsidR="007C54F9" w:rsidRDefault="346946B2" w:rsidP="44E0F867">
            <w:pPr>
              <w:jc w:val="both"/>
              <w:rPr>
                <w:sz w:val="18"/>
                <w:szCs w:val="18"/>
              </w:rPr>
            </w:pPr>
            <w:r w:rsidRPr="44E0F867">
              <w:rPr>
                <w:sz w:val="18"/>
                <w:szCs w:val="18"/>
              </w:rPr>
              <w:t xml:space="preserve">Zgodnie z zapisami </w:t>
            </w:r>
            <w:r w:rsidRPr="006107FF">
              <w:rPr>
                <w:sz w:val="18"/>
                <w:szCs w:val="18"/>
              </w:rPr>
              <w:t xml:space="preserve">Studium Wykonalności Beneficjent będzie </w:t>
            </w:r>
            <w:r w:rsidRPr="00190579">
              <w:rPr>
                <w:sz w:val="18"/>
                <w:szCs w:val="18"/>
              </w:rPr>
              <w:t>utrzymywał</w:t>
            </w:r>
            <w:r w:rsidR="00044886" w:rsidRPr="00190579">
              <w:rPr>
                <w:sz w:val="18"/>
                <w:szCs w:val="18"/>
              </w:rPr>
              <w:t xml:space="preserve"> </w:t>
            </w:r>
            <w:r w:rsidRPr="00190579">
              <w:rPr>
                <w:sz w:val="18"/>
                <w:szCs w:val="18"/>
              </w:rPr>
              <w:t xml:space="preserve">finansowanie </w:t>
            </w:r>
            <w:r w:rsidR="0051364F">
              <w:rPr>
                <w:sz w:val="18"/>
                <w:szCs w:val="18"/>
              </w:rPr>
              <w:t>produktów projektu</w:t>
            </w:r>
            <w:r w:rsidR="00B83D3D" w:rsidRPr="00190579">
              <w:rPr>
                <w:sz w:val="18"/>
                <w:szCs w:val="18"/>
              </w:rPr>
              <w:t xml:space="preserve"> </w:t>
            </w:r>
            <w:r w:rsidRPr="00190579">
              <w:rPr>
                <w:sz w:val="18"/>
                <w:szCs w:val="18"/>
              </w:rPr>
              <w:t>w okresie trw</w:t>
            </w:r>
            <w:r w:rsidR="3ACFDD16" w:rsidRPr="00190579">
              <w:rPr>
                <w:sz w:val="18"/>
                <w:szCs w:val="18"/>
              </w:rPr>
              <w:t>ałości</w:t>
            </w:r>
            <w:r w:rsidR="449F1026" w:rsidRPr="00190579">
              <w:rPr>
                <w:sz w:val="18"/>
                <w:szCs w:val="18"/>
              </w:rPr>
              <w:t xml:space="preserve"> </w:t>
            </w:r>
            <w:r w:rsidR="00E21984" w:rsidRPr="00190579">
              <w:rPr>
                <w:sz w:val="18"/>
                <w:szCs w:val="18"/>
              </w:rPr>
              <w:t>z środkó</w:t>
            </w:r>
            <w:r w:rsidR="00E21984" w:rsidRPr="006107FF">
              <w:rPr>
                <w:sz w:val="18"/>
                <w:szCs w:val="18"/>
              </w:rPr>
              <w:t>w własnych.</w:t>
            </w:r>
          </w:p>
          <w:p w14:paraId="48580DCB" w14:textId="5D315521" w:rsidR="007C54F9" w:rsidRDefault="007C54F9" w:rsidP="00190579">
            <w:pPr>
              <w:jc w:val="both"/>
              <w:rPr>
                <w:i/>
                <w:iCs/>
                <w:sz w:val="18"/>
                <w:szCs w:val="18"/>
              </w:rPr>
            </w:pPr>
          </w:p>
        </w:tc>
      </w:tr>
      <w:tr w:rsidR="009D3D41" w:rsidRPr="002450C4" w14:paraId="203B1E8D" w14:textId="77777777" w:rsidTr="44E0F867">
        <w:tc>
          <w:tcPr>
            <w:tcW w:w="480" w:type="dxa"/>
          </w:tcPr>
          <w:p w14:paraId="4B94D5A5" w14:textId="77777777" w:rsidR="009D3D41" w:rsidRPr="002450C4" w:rsidRDefault="009D3D41" w:rsidP="0058262E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3D5DA539" w14:textId="77777777" w:rsidR="009D3D41" w:rsidRDefault="009D3D41" w:rsidP="007E609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Doświadczenia związane z realizacją projektu</w:t>
            </w:r>
          </w:p>
        </w:tc>
        <w:tc>
          <w:tcPr>
            <w:tcW w:w="6232" w:type="dxa"/>
          </w:tcPr>
          <w:p w14:paraId="1B4818F1" w14:textId="448EE1C9" w:rsidR="51B8AF4E" w:rsidRDefault="51B8AF4E" w:rsidP="44E0F867">
            <w:pPr>
              <w:jc w:val="both"/>
              <w:rPr>
                <w:sz w:val="18"/>
                <w:szCs w:val="18"/>
              </w:rPr>
            </w:pPr>
            <w:r w:rsidRPr="44E0F867">
              <w:rPr>
                <w:sz w:val="18"/>
                <w:szCs w:val="18"/>
              </w:rPr>
              <w:t>Zarządzanie wiedzą -</w:t>
            </w:r>
            <w:r w:rsidR="5473A143" w:rsidRPr="44E0F867">
              <w:rPr>
                <w:sz w:val="18"/>
                <w:szCs w:val="18"/>
              </w:rPr>
              <w:t xml:space="preserve"> </w:t>
            </w:r>
            <w:r w:rsidRPr="44E0F867">
              <w:rPr>
                <w:sz w:val="18"/>
                <w:szCs w:val="18"/>
              </w:rPr>
              <w:t xml:space="preserve">osoby posiadające </w:t>
            </w:r>
            <w:r w:rsidR="048CB1BC" w:rsidRPr="44E0F867">
              <w:rPr>
                <w:sz w:val="18"/>
                <w:szCs w:val="18"/>
              </w:rPr>
              <w:t>określone</w:t>
            </w:r>
            <w:r w:rsidRPr="44E0F867">
              <w:rPr>
                <w:sz w:val="18"/>
                <w:szCs w:val="18"/>
              </w:rPr>
              <w:t xml:space="preserve"> umiejętności</w:t>
            </w:r>
            <w:r w:rsidR="63DF2454" w:rsidRPr="44E0F867">
              <w:rPr>
                <w:sz w:val="18"/>
                <w:szCs w:val="18"/>
              </w:rPr>
              <w:t xml:space="preserve"> lub </w:t>
            </w:r>
            <w:r w:rsidRPr="44E0F867">
              <w:rPr>
                <w:sz w:val="18"/>
                <w:szCs w:val="18"/>
              </w:rPr>
              <w:t>wiedzę</w:t>
            </w:r>
            <w:r w:rsidR="73593781" w:rsidRPr="44E0F867">
              <w:rPr>
                <w:sz w:val="18"/>
                <w:szCs w:val="18"/>
              </w:rPr>
              <w:t xml:space="preserve"> w ramach szkoleń wewnętrznych </w:t>
            </w:r>
            <w:r w:rsidR="446FBDB5" w:rsidRPr="44E0F867">
              <w:rPr>
                <w:sz w:val="18"/>
                <w:szCs w:val="18"/>
              </w:rPr>
              <w:t>przekazywały</w:t>
            </w:r>
            <w:r w:rsidR="73593781" w:rsidRPr="44E0F867">
              <w:rPr>
                <w:sz w:val="18"/>
                <w:szCs w:val="18"/>
              </w:rPr>
              <w:t xml:space="preserve"> </w:t>
            </w:r>
            <w:r w:rsidR="06F29EAD" w:rsidRPr="44E0F867">
              <w:rPr>
                <w:sz w:val="18"/>
                <w:szCs w:val="18"/>
              </w:rPr>
              <w:t xml:space="preserve">je </w:t>
            </w:r>
            <w:r w:rsidR="73593781" w:rsidRPr="44E0F867">
              <w:rPr>
                <w:sz w:val="18"/>
                <w:szCs w:val="18"/>
              </w:rPr>
              <w:t>pozostałym pracownikom z danego obszaru</w:t>
            </w:r>
            <w:r w:rsidR="644DECFE" w:rsidRPr="44E0F867">
              <w:rPr>
                <w:sz w:val="18"/>
                <w:szCs w:val="18"/>
              </w:rPr>
              <w:t>. Dodatkowo</w:t>
            </w:r>
            <w:r w:rsidRPr="44E0F867">
              <w:rPr>
                <w:sz w:val="18"/>
                <w:szCs w:val="18"/>
              </w:rPr>
              <w:t xml:space="preserve"> </w:t>
            </w:r>
            <w:r w:rsidR="57E9DAFB" w:rsidRPr="44E0F867">
              <w:rPr>
                <w:sz w:val="18"/>
                <w:szCs w:val="18"/>
              </w:rPr>
              <w:t>dokumentowan</w:t>
            </w:r>
            <w:r w:rsidR="537D8622" w:rsidRPr="44E0F867">
              <w:rPr>
                <w:sz w:val="18"/>
                <w:szCs w:val="18"/>
              </w:rPr>
              <w:t>o</w:t>
            </w:r>
            <w:r w:rsidRPr="44E0F867">
              <w:rPr>
                <w:sz w:val="18"/>
                <w:szCs w:val="18"/>
              </w:rPr>
              <w:t xml:space="preserve"> wiedz</w:t>
            </w:r>
            <w:r w:rsidR="12F34885" w:rsidRPr="44E0F867">
              <w:rPr>
                <w:sz w:val="18"/>
                <w:szCs w:val="18"/>
              </w:rPr>
              <w:t>ę</w:t>
            </w:r>
            <w:r w:rsidRPr="44E0F867">
              <w:rPr>
                <w:sz w:val="18"/>
                <w:szCs w:val="18"/>
              </w:rPr>
              <w:t xml:space="preserve"> wytworzon</w:t>
            </w:r>
            <w:r w:rsidR="31CF9132" w:rsidRPr="44E0F867">
              <w:rPr>
                <w:sz w:val="18"/>
                <w:szCs w:val="18"/>
              </w:rPr>
              <w:t>ą</w:t>
            </w:r>
            <w:r w:rsidRPr="44E0F867">
              <w:rPr>
                <w:sz w:val="18"/>
                <w:szCs w:val="18"/>
              </w:rPr>
              <w:t xml:space="preserve"> przez personel projektu w formie procedur operacyjnych</w:t>
            </w:r>
          </w:p>
          <w:p w14:paraId="408E6FBA" w14:textId="79B843C4" w:rsidR="44E0F867" w:rsidRDefault="44E0F867" w:rsidP="44E0F867">
            <w:pPr>
              <w:jc w:val="both"/>
              <w:rPr>
                <w:sz w:val="18"/>
                <w:szCs w:val="18"/>
              </w:rPr>
            </w:pPr>
          </w:p>
          <w:p w14:paraId="1E17CB6E" w14:textId="64472A0C" w:rsidR="49CCC00A" w:rsidRDefault="49CCC00A" w:rsidP="44E0F867">
            <w:pPr>
              <w:jc w:val="both"/>
              <w:rPr>
                <w:sz w:val="18"/>
                <w:szCs w:val="18"/>
              </w:rPr>
            </w:pPr>
            <w:r w:rsidRPr="44E0F867">
              <w:rPr>
                <w:sz w:val="18"/>
                <w:szCs w:val="18"/>
              </w:rPr>
              <w:t>Zamówienia publiczne</w:t>
            </w:r>
            <w:r w:rsidR="607FC64A" w:rsidRPr="44E0F867">
              <w:rPr>
                <w:sz w:val="18"/>
                <w:szCs w:val="18"/>
              </w:rPr>
              <w:t>:</w:t>
            </w:r>
            <w:r w:rsidRPr="44E0F867">
              <w:rPr>
                <w:sz w:val="18"/>
                <w:szCs w:val="18"/>
              </w:rPr>
              <w:t xml:space="preserve"> </w:t>
            </w:r>
          </w:p>
          <w:p w14:paraId="47924439" w14:textId="48ED269F" w:rsidR="4C74BC8D" w:rsidRDefault="4C74BC8D" w:rsidP="44E0F867">
            <w:pPr>
              <w:pStyle w:val="ListParagraph"/>
              <w:numPr>
                <w:ilvl w:val="0"/>
                <w:numId w:val="1"/>
              </w:numPr>
              <w:jc w:val="both"/>
              <w:rPr>
                <w:rFonts w:eastAsiaTheme="minorEastAsia"/>
                <w:sz w:val="18"/>
                <w:szCs w:val="18"/>
              </w:rPr>
            </w:pPr>
            <w:r w:rsidRPr="44E0F867">
              <w:rPr>
                <w:sz w:val="18"/>
                <w:szCs w:val="18"/>
              </w:rPr>
              <w:t>Zastosowano ogłoszenia wstępne, które pozwoliły na skrócenie czasu realizacji zakupów.</w:t>
            </w:r>
          </w:p>
          <w:p w14:paraId="6240EC17" w14:textId="364D003C" w:rsidR="009D3D41" w:rsidRPr="00E21984" w:rsidRDefault="4C74BC8D" w:rsidP="44E0F867">
            <w:pPr>
              <w:pStyle w:val="ListParagraph"/>
              <w:numPr>
                <w:ilvl w:val="0"/>
                <w:numId w:val="1"/>
              </w:numPr>
              <w:jc w:val="both"/>
              <w:rPr>
                <w:rFonts w:eastAsiaTheme="minorEastAsia"/>
                <w:sz w:val="18"/>
                <w:szCs w:val="18"/>
              </w:rPr>
            </w:pPr>
            <w:r w:rsidRPr="44E0F867">
              <w:rPr>
                <w:sz w:val="18"/>
                <w:szCs w:val="18"/>
              </w:rPr>
              <w:t>Wprowadzono dialog techniczny jako elem</w:t>
            </w:r>
            <w:r w:rsidR="1D21C154" w:rsidRPr="44E0F867">
              <w:rPr>
                <w:sz w:val="18"/>
                <w:szCs w:val="18"/>
              </w:rPr>
              <w:t xml:space="preserve">ent ustalania opisu przedmiotu zamówienia - zwiększyła się dokładność opisu </w:t>
            </w:r>
            <w:r w:rsidR="6C596C66" w:rsidRPr="44E0F867">
              <w:rPr>
                <w:sz w:val="18"/>
                <w:szCs w:val="18"/>
              </w:rPr>
              <w:t>co przełożyło się na</w:t>
            </w:r>
            <w:r w:rsidR="1D21C154" w:rsidRPr="44E0F867">
              <w:rPr>
                <w:sz w:val="18"/>
                <w:szCs w:val="18"/>
              </w:rPr>
              <w:t xml:space="preserve"> </w:t>
            </w:r>
            <w:r w:rsidR="4E0401F5" w:rsidRPr="44E0F867">
              <w:rPr>
                <w:sz w:val="18"/>
                <w:szCs w:val="18"/>
              </w:rPr>
              <w:t xml:space="preserve">mniejszą </w:t>
            </w:r>
            <w:r w:rsidR="1D21C154" w:rsidRPr="44E0F867">
              <w:rPr>
                <w:sz w:val="18"/>
                <w:szCs w:val="18"/>
              </w:rPr>
              <w:t xml:space="preserve">ilość </w:t>
            </w:r>
            <w:r w:rsidR="2497BB34" w:rsidRPr="44E0F867">
              <w:rPr>
                <w:sz w:val="18"/>
                <w:szCs w:val="18"/>
              </w:rPr>
              <w:t>pytań</w:t>
            </w:r>
            <w:r w:rsidR="1D21C154" w:rsidRPr="44E0F867">
              <w:rPr>
                <w:sz w:val="18"/>
                <w:szCs w:val="18"/>
              </w:rPr>
              <w:t xml:space="preserve"> w trakcie </w:t>
            </w:r>
            <w:r w:rsidR="596B8F4C" w:rsidRPr="44E0F867">
              <w:rPr>
                <w:sz w:val="18"/>
                <w:szCs w:val="18"/>
              </w:rPr>
              <w:t>trwania postępowania.</w:t>
            </w:r>
          </w:p>
        </w:tc>
      </w:tr>
    </w:tbl>
    <w:p w14:paraId="3DEEC669" w14:textId="77777777" w:rsidR="007A0A3D" w:rsidRDefault="007A0A3D" w:rsidP="007A0A3D"/>
    <w:sectPr w:rsidR="007A0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C7414E"/>
    <w:multiLevelType w:val="hybridMultilevel"/>
    <w:tmpl w:val="6B4826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54A9E"/>
    <w:multiLevelType w:val="hybridMultilevel"/>
    <w:tmpl w:val="C1264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38B5ACC"/>
    <w:multiLevelType w:val="hybridMultilevel"/>
    <w:tmpl w:val="1114A0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1C636AA"/>
    <w:multiLevelType w:val="hybridMultilevel"/>
    <w:tmpl w:val="B39AC96E"/>
    <w:lvl w:ilvl="0" w:tplc="0EDC9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0074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CAE7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1E83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C6F0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2BA05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34B9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D281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EAADD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DA6AEB"/>
    <w:multiLevelType w:val="hybridMultilevel"/>
    <w:tmpl w:val="EFD0C780"/>
    <w:lvl w:ilvl="0" w:tplc="2BC459B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FBC9F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E1AFC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AC09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E829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74B5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BA3E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AE76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2276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736728"/>
    <w:multiLevelType w:val="hybridMultilevel"/>
    <w:tmpl w:val="ABE644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537A8A"/>
    <w:multiLevelType w:val="multilevel"/>
    <w:tmpl w:val="A0601F6E"/>
    <w:lvl w:ilvl="0">
      <w:start w:val="1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10"/>
  </w:num>
  <w:num w:numId="9">
    <w:abstractNumId w:val="9"/>
  </w:num>
  <w:num w:numId="10">
    <w:abstractNumId w:val="11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A3D"/>
    <w:rsid w:val="00044886"/>
    <w:rsid w:val="000D3CA9"/>
    <w:rsid w:val="000E0C6F"/>
    <w:rsid w:val="0011080A"/>
    <w:rsid w:val="00122E5B"/>
    <w:rsid w:val="001455E8"/>
    <w:rsid w:val="001600BB"/>
    <w:rsid w:val="001624AC"/>
    <w:rsid w:val="001806EC"/>
    <w:rsid w:val="00190579"/>
    <w:rsid w:val="001C611C"/>
    <w:rsid w:val="001C6D7D"/>
    <w:rsid w:val="001E41FA"/>
    <w:rsid w:val="002115CA"/>
    <w:rsid w:val="0021582D"/>
    <w:rsid w:val="002450C4"/>
    <w:rsid w:val="002476DF"/>
    <w:rsid w:val="002A153C"/>
    <w:rsid w:val="002A728C"/>
    <w:rsid w:val="00376DB3"/>
    <w:rsid w:val="003B0BCC"/>
    <w:rsid w:val="003B107D"/>
    <w:rsid w:val="003B7BD6"/>
    <w:rsid w:val="003D7919"/>
    <w:rsid w:val="0040462A"/>
    <w:rsid w:val="004046DC"/>
    <w:rsid w:val="00445FBA"/>
    <w:rsid w:val="00496FEF"/>
    <w:rsid w:val="004B19FE"/>
    <w:rsid w:val="004D135D"/>
    <w:rsid w:val="004F26B6"/>
    <w:rsid w:val="004F52A3"/>
    <w:rsid w:val="004FA037"/>
    <w:rsid w:val="0051364F"/>
    <w:rsid w:val="00551CE6"/>
    <w:rsid w:val="00554E6C"/>
    <w:rsid w:val="0058262E"/>
    <w:rsid w:val="005A4344"/>
    <w:rsid w:val="005B128E"/>
    <w:rsid w:val="005D4188"/>
    <w:rsid w:val="005F3DD8"/>
    <w:rsid w:val="005F5484"/>
    <w:rsid w:val="006107FF"/>
    <w:rsid w:val="00612B08"/>
    <w:rsid w:val="00632AA0"/>
    <w:rsid w:val="00643672"/>
    <w:rsid w:val="00687AFE"/>
    <w:rsid w:val="006B7454"/>
    <w:rsid w:val="00716201"/>
    <w:rsid w:val="007408A3"/>
    <w:rsid w:val="00743031"/>
    <w:rsid w:val="007437D9"/>
    <w:rsid w:val="00765918"/>
    <w:rsid w:val="00773523"/>
    <w:rsid w:val="007A0A3D"/>
    <w:rsid w:val="007C54F9"/>
    <w:rsid w:val="007E2F1F"/>
    <w:rsid w:val="007E6098"/>
    <w:rsid w:val="007F63EF"/>
    <w:rsid w:val="007F7E61"/>
    <w:rsid w:val="008029FD"/>
    <w:rsid w:val="00803E67"/>
    <w:rsid w:val="00813FEF"/>
    <w:rsid w:val="00814C23"/>
    <w:rsid w:val="008213A6"/>
    <w:rsid w:val="00827D95"/>
    <w:rsid w:val="00843BF8"/>
    <w:rsid w:val="00845F5D"/>
    <w:rsid w:val="008632E4"/>
    <w:rsid w:val="008927DE"/>
    <w:rsid w:val="008E0416"/>
    <w:rsid w:val="00905779"/>
    <w:rsid w:val="0092099A"/>
    <w:rsid w:val="00920CE8"/>
    <w:rsid w:val="00934E55"/>
    <w:rsid w:val="00982DC4"/>
    <w:rsid w:val="009A5099"/>
    <w:rsid w:val="009D3D41"/>
    <w:rsid w:val="009E1398"/>
    <w:rsid w:val="00A12836"/>
    <w:rsid w:val="00A1534B"/>
    <w:rsid w:val="00A32BCA"/>
    <w:rsid w:val="00A522AB"/>
    <w:rsid w:val="00A6601B"/>
    <w:rsid w:val="00A661F7"/>
    <w:rsid w:val="00A710B2"/>
    <w:rsid w:val="00AA1C73"/>
    <w:rsid w:val="00AD652D"/>
    <w:rsid w:val="00AF538A"/>
    <w:rsid w:val="00B01164"/>
    <w:rsid w:val="00B33C04"/>
    <w:rsid w:val="00B5064E"/>
    <w:rsid w:val="00B57299"/>
    <w:rsid w:val="00B83D3D"/>
    <w:rsid w:val="00B93735"/>
    <w:rsid w:val="00B94C8D"/>
    <w:rsid w:val="00BB24F6"/>
    <w:rsid w:val="00BC120E"/>
    <w:rsid w:val="00BF1726"/>
    <w:rsid w:val="00C340F0"/>
    <w:rsid w:val="00C37A3A"/>
    <w:rsid w:val="00C42446"/>
    <w:rsid w:val="00C546B0"/>
    <w:rsid w:val="00C56B53"/>
    <w:rsid w:val="00C5C182"/>
    <w:rsid w:val="00C67B9B"/>
    <w:rsid w:val="00C948E6"/>
    <w:rsid w:val="00CA79E4"/>
    <w:rsid w:val="00CF4111"/>
    <w:rsid w:val="00D22A05"/>
    <w:rsid w:val="00D2582C"/>
    <w:rsid w:val="00D56072"/>
    <w:rsid w:val="00D65F79"/>
    <w:rsid w:val="00DB70A5"/>
    <w:rsid w:val="00E201A9"/>
    <w:rsid w:val="00E21984"/>
    <w:rsid w:val="00E30008"/>
    <w:rsid w:val="00E52249"/>
    <w:rsid w:val="00EB16D2"/>
    <w:rsid w:val="00EE722B"/>
    <w:rsid w:val="00EF094D"/>
    <w:rsid w:val="00F07802"/>
    <w:rsid w:val="00F32CAA"/>
    <w:rsid w:val="00F741B3"/>
    <w:rsid w:val="00F82254"/>
    <w:rsid w:val="00FA2C7F"/>
    <w:rsid w:val="00FD074F"/>
    <w:rsid w:val="01355382"/>
    <w:rsid w:val="01791B81"/>
    <w:rsid w:val="01956898"/>
    <w:rsid w:val="01BC1F77"/>
    <w:rsid w:val="01C648C3"/>
    <w:rsid w:val="022447EC"/>
    <w:rsid w:val="02C1939A"/>
    <w:rsid w:val="02D123E3"/>
    <w:rsid w:val="0354DE0E"/>
    <w:rsid w:val="03FDE1E7"/>
    <w:rsid w:val="0426F42A"/>
    <w:rsid w:val="04457757"/>
    <w:rsid w:val="04476B62"/>
    <w:rsid w:val="046D5854"/>
    <w:rsid w:val="048CB1BC"/>
    <w:rsid w:val="04AF5909"/>
    <w:rsid w:val="04C6319A"/>
    <w:rsid w:val="05263309"/>
    <w:rsid w:val="057353CF"/>
    <w:rsid w:val="05E147B8"/>
    <w:rsid w:val="06411900"/>
    <w:rsid w:val="065F293C"/>
    <w:rsid w:val="06F29EAD"/>
    <w:rsid w:val="0714F9A6"/>
    <w:rsid w:val="0750A736"/>
    <w:rsid w:val="076D7552"/>
    <w:rsid w:val="079A8E94"/>
    <w:rsid w:val="07CD4329"/>
    <w:rsid w:val="07ECF6C8"/>
    <w:rsid w:val="080928C9"/>
    <w:rsid w:val="082FBEF7"/>
    <w:rsid w:val="087C709B"/>
    <w:rsid w:val="0918E87A"/>
    <w:rsid w:val="0A1840FC"/>
    <w:rsid w:val="0A50C431"/>
    <w:rsid w:val="0AB4B8DB"/>
    <w:rsid w:val="0B004AA0"/>
    <w:rsid w:val="0B16D065"/>
    <w:rsid w:val="0B197202"/>
    <w:rsid w:val="0B2597A0"/>
    <w:rsid w:val="0B39CF83"/>
    <w:rsid w:val="0B8120FE"/>
    <w:rsid w:val="0B8CC96D"/>
    <w:rsid w:val="0BB4115D"/>
    <w:rsid w:val="0C28E4ED"/>
    <w:rsid w:val="0C50893C"/>
    <w:rsid w:val="0CAA2F63"/>
    <w:rsid w:val="0D06F9CE"/>
    <w:rsid w:val="0D74FA27"/>
    <w:rsid w:val="0DEC599D"/>
    <w:rsid w:val="0E622BA2"/>
    <w:rsid w:val="0E8B35EE"/>
    <w:rsid w:val="0ECD83B5"/>
    <w:rsid w:val="0F66F472"/>
    <w:rsid w:val="0F7BEBCE"/>
    <w:rsid w:val="0F8829FE"/>
    <w:rsid w:val="0F919738"/>
    <w:rsid w:val="0FC5B484"/>
    <w:rsid w:val="0FCED2E9"/>
    <w:rsid w:val="1027064F"/>
    <w:rsid w:val="103518D8"/>
    <w:rsid w:val="10438580"/>
    <w:rsid w:val="1066365A"/>
    <w:rsid w:val="10D1C714"/>
    <w:rsid w:val="1123FA5F"/>
    <w:rsid w:val="11788348"/>
    <w:rsid w:val="11972CD1"/>
    <w:rsid w:val="120DC45C"/>
    <w:rsid w:val="122C24E4"/>
    <w:rsid w:val="12724BA5"/>
    <w:rsid w:val="12F34885"/>
    <w:rsid w:val="1307A741"/>
    <w:rsid w:val="135ADF92"/>
    <w:rsid w:val="1361477D"/>
    <w:rsid w:val="13D2A510"/>
    <w:rsid w:val="141DDBC5"/>
    <w:rsid w:val="143744AD"/>
    <w:rsid w:val="143B1FB6"/>
    <w:rsid w:val="14D0B6C0"/>
    <w:rsid w:val="14DD6570"/>
    <w:rsid w:val="14F6AFF3"/>
    <w:rsid w:val="15E87EC5"/>
    <w:rsid w:val="15FE95B6"/>
    <w:rsid w:val="16177D1A"/>
    <w:rsid w:val="16372992"/>
    <w:rsid w:val="166C8721"/>
    <w:rsid w:val="169647D3"/>
    <w:rsid w:val="16B810A4"/>
    <w:rsid w:val="1894D854"/>
    <w:rsid w:val="1915A548"/>
    <w:rsid w:val="19CCA69B"/>
    <w:rsid w:val="1A06455D"/>
    <w:rsid w:val="1A152DCE"/>
    <w:rsid w:val="1A96973A"/>
    <w:rsid w:val="1B17DF0D"/>
    <w:rsid w:val="1B4CA6F4"/>
    <w:rsid w:val="1C56F1E3"/>
    <w:rsid w:val="1CB45696"/>
    <w:rsid w:val="1CD353B3"/>
    <w:rsid w:val="1CD8854C"/>
    <w:rsid w:val="1CE87755"/>
    <w:rsid w:val="1D21C154"/>
    <w:rsid w:val="1DF04FD4"/>
    <w:rsid w:val="1E08CAA1"/>
    <w:rsid w:val="1E81FB48"/>
    <w:rsid w:val="1EAB86F4"/>
    <w:rsid w:val="1F3258B6"/>
    <w:rsid w:val="1F3ADDCF"/>
    <w:rsid w:val="1F8B60DF"/>
    <w:rsid w:val="1FAECBF5"/>
    <w:rsid w:val="21273140"/>
    <w:rsid w:val="21E0E800"/>
    <w:rsid w:val="22A9D944"/>
    <w:rsid w:val="24509060"/>
    <w:rsid w:val="2497BB34"/>
    <w:rsid w:val="24A81841"/>
    <w:rsid w:val="24B60D01"/>
    <w:rsid w:val="25D3C070"/>
    <w:rsid w:val="261E657C"/>
    <w:rsid w:val="26313A4B"/>
    <w:rsid w:val="263A59FD"/>
    <w:rsid w:val="264BB203"/>
    <w:rsid w:val="26B45923"/>
    <w:rsid w:val="26BA3246"/>
    <w:rsid w:val="26CC3561"/>
    <w:rsid w:val="26F77538"/>
    <w:rsid w:val="27179455"/>
    <w:rsid w:val="27A37EDB"/>
    <w:rsid w:val="27C5DA3E"/>
    <w:rsid w:val="27E00C70"/>
    <w:rsid w:val="2846D224"/>
    <w:rsid w:val="28481BFB"/>
    <w:rsid w:val="286CDA30"/>
    <w:rsid w:val="2A263D10"/>
    <w:rsid w:val="2A7C0FDB"/>
    <w:rsid w:val="2AC49781"/>
    <w:rsid w:val="2B5FCCD0"/>
    <w:rsid w:val="2BE3D32A"/>
    <w:rsid w:val="2C1023EE"/>
    <w:rsid w:val="2C30B6A4"/>
    <w:rsid w:val="2CD04F20"/>
    <w:rsid w:val="2CDC4E81"/>
    <w:rsid w:val="2D1FD328"/>
    <w:rsid w:val="2D487EA9"/>
    <w:rsid w:val="2D71C1B8"/>
    <w:rsid w:val="2D86D5D9"/>
    <w:rsid w:val="2E116649"/>
    <w:rsid w:val="2E17CB1A"/>
    <w:rsid w:val="2E5FCC4C"/>
    <w:rsid w:val="2E6C1F81"/>
    <w:rsid w:val="2F2E9C53"/>
    <w:rsid w:val="2F4E152B"/>
    <w:rsid w:val="2F8FBA94"/>
    <w:rsid w:val="2FD75BF3"/>
    <w:rsid w:val="303479AC"/>
    <w:rsid w:val="307341EB"/>
    <w:rsid w:val="30CA6CB4"/>
    <w:rsid w:val="31CF9132"/>
    <w:rsid w:val="321BEFCC"/>
    <w:rsid w:val="32AE3A20"/>
    <w:rsid w:val="32BC13AC"/>
    <w:rsid w:val="32E66606"/>
    <w:rsid w:val="338CFBFD"/>
    <w:rsid w:val="3413E668"/>
    <w:rsid w:val="341676F1"/>
    <w:rsid w:val="3431C0EE"/>
    <w:rsid w:val="34621654"/>
    <w:rsid w:val="346946B2"/>
    <w:rsid w:val="34801518"/>
    <w:rsid w:val="34870C9E"/>
    <w:rsid w:val="3559B9AE"/>
    <w:rsid w:val="356A6AD1"/>
    <w:rsid w:val="3572E20B"/>
    <w:rsid w:val="358F4A54"/>
    <w:rsid w:val="35B24752"/>
    <w:rsid w:val="36C3A5FC"/>
    <w:rsid w:val="371F7C4F"/>
    <w:rsid w:val="37F6E2BC"/>
    <w:rsid w:val="386179D3"/>
    <w:rsid w:val="388DEF04"/>
    <w:rsid w:val="38C8CA48"/>
    <w:rsid w:val="395FE964"/>
    <w:rsid w:val="39B35ECB"/>
    <w:rsid w:val="39CF5DB6"/>
    <w:rsid w:val="39EAB9D9"/>
    <w:rsid w:val="39FE0DBB"/>
    <w:rsid w:val="3ACFDD16"/>
    <w:rsid w:val="3B8E13FF"/>
    <w:rsid w:val="3BB892C2"/>
    <w:rsid w:val="3BF02041"/>
    <w:rsid w:val="3CA9C7FE"/>
    <w:rsid w:val="3D64CB93"/>
    <w:rsid w:val="3E95B173"/>
    <w:rsid w:val="3F179069"/>
    <w:rsid w:val="3F22ACF1"/>
    <w:rsid w:val="3FB05B3E"/>
    <w:rsid w:val="3FE7C024"/>
    <w:rsid w:val="408CA20D"/>
    <w:rsid w:val="40CC3C6B"/>
    <w:rsid w:val="4189AC19"/>
    <w:rsid w:val="41C761BB"/>
    <w:rsid w:val="4220B40D"/>
    <w:rsid w:val="42822E04"/>
    <w:rsid w:val="42E7CA2A"/>
    <w:rsid w:val="431DFADE"/>
    <w:rsid w:val="43551F32"/>
    <w:rsid w:val="43CB573E"/>
    <w:rsid w:val="4413725E"/>
    <w:rsid w:val="4424A149"/>
    <w:rsid w:val="446FBDB5"/>
    <w:rsid w:val="447FD30C"/>
    <w:rsid w:val="449E044E"/>
    <w:rsid w:val="449F1026"/>
    <w:rsid w:val="44D7D4AC"/>
    <w:rsid w:val="44E0F867"/>
    <w:rsid w:val="453D4FEC"/>
    <w:rsid w:val="4570BD31"/>
    <w:rsid w:val="45C1820E"/>
    <w:rsid w:val="45D7643A"/>
    <w:rsid w:val="461FD86C"/>
    <w:rsid w:val="465F6B6C"/>
    <w:rsid w:val="468F0A56"/>
    <w:rsid w:val="46C57743"/>
    <w:rsid w:val="47183CD3"/>
    <w:rsid w:val="4757F55F"/>
    <w:rsid w:val="476C2C25"/>
    <w:rsid w:val="477B35A5"/>
    <w:rsid w:val="47B14CB0"/>
    <w:rsid w:val="489DCB47"/>
    <w:rsid w:val="48F5A962"/>
    <w:rsid w:val="497446C6"/>
    <w:rsid w:val="49B93562"/>
    <w:rsid w:val="49CCC00A"/>
    <w:rsid w:val="49E5F91E"/>
    <w:rsid w:val="4A1A5BF6"/>
    <w:rsid w:val="4A217065"/>
    <w:rsid w:val="4A42E11B"/>
    <w:rsid w:val="4AA7C45B"/>
    <w:rsid w:val="4BDEB17C"/>
    <w:rsid w:val="4C63B219"/>
    <w:rsid w:val="4C74BC8D"/>
    <w:rsid w:val="4D4FBA3C"/>
    <w:rsid w:val="4D7A81DD"/>
    <w:rsid w:val="4DC9C337"/>
    <w:rsid w:val="4E0401F5"/>
    <w:rsid w:val="4E913D01"/>
    <w:rsid w:val="4EDB35D3"/>
    <w:rsid w:val="4F9012D3"/>
    <w:rsid w:val="501EB06A"/>
    <w:rsid w:val="50B3FA76"/>
    <w:rsid w:val="50F00BF3"/>
    <w:rsid w:val="512BE334"/>
    <w:rsid w:val="514C5729"/>
    <w:rsid w:val="51B8AF4E"/>
    <w:rsid w:val="51C3095F"/>
    <w:rsid w:val="51CBF467"/>
    <w:rsid w:val="5232FC5D"/>
    <w:rsid w:val="52C41A58"/>
    <w:rsid w:val="52E5EA29"/>
    <w:rsid w:val="52EF3E66"/>
    <w:rsid w:val="530BB49D"/>
    <w:rsid w:val="5326DC48"/>
    <w:rsid w:val="537D8622"/>
    <w:rsid w:val="53CB2400"/>
    <w:rsid w:val="5473A143"/>
    <w:rsid w:val="551C2585"/>
    <w:rsid w:val="553050F8"/>
    <w:rsid w:val="55C37D16"/>
    <w:rsid w:val="55F2812B"/>
    <w:rsid w:val="567D5225"/>
    <w:rsid w:val="56922C2B"/>
    <w:rsid w:val="56A95E36"/>
    <w:rsid w:val="56B36E57"/>
    <w:rsid w:val="575F4D77"/>
    <w:rsid w:val="57DF25C0"/>
    <w:rsid w:val="57E9DAFB"/>
    <w:rsid w:val="5816FEED"/>
    <w:rsid w:val="582BF346"/>
    <w:rsid w:val="5835D2BF"/>
    <w:rsid w:val="5854F9DD"/>
    <w:rsid w:val="58D1A2A8"/>
    <w:rsid w:val="595BB1CE"/>
    <w:rsid w:val="596B8F4C"/>
    <w:rsid w:val="59D85830"/>
    <w:rsid w:val="59E4BC68"/>
    <w:rsid w:val="5A0C2B2A"/>
    <w:rsid w:val="5A47CA0E"/>
    <w:rsid w:val="5AD78189"/>
    <w:rsid w:val="5B50C348"/>
    <w:rsid w:val="5B5897BC"/>
    <w:rsid w:val="5B801EAA"/>
    <w:rsid w:val="5B945642"/>
    <w:rsid w:val="5BFA3A9D"/>
    <w:rsid w:val="5C3182AD"/>
    <w:rsid w:val="5C609CD9"/>
    <w:rsid w:val="5CE89356"/>
    <w:rsid w:val="5E22A4C3"/>
    <w:rsid w:val="5E6D7223"/>
    <w:rsid w:val="5F16D276"/>
    <w:rsid w:val="5F3E1610"/>
    <w:rsid w:val="60538FCD"/>
    <w:rsid w:val="607FC64A"/>
    <w:rsid w:val="6083840A"/>
    <w:rsid w:val="60D8534B"/>
    <w:rsid w:val="610A6E75"/>
    <w:rsid w:val="610AE90B"/>
    <w:rsid w:val="61530CF4"/>
    <w:rsid w:val="615D17E9"/>
    <w:rsid w:val="619EF2AF"/>
    <w:rsid w:val="61EF602E"/>
    <w:rsid w:val="628E9A38"/>
    <w:rsid w:val="62F8E84A"/>
    <w:rsid w:val="631F8793"/>
    <w:rsid w:val="6325A966"/>
    <w:rsid w:val="633CE31A"/>
    <w:rsid w:val="63570CE4"/>
    <w:rsid w:val="6364460D"/>
    <w:rsid w:val="63DB3F06"/>
    <w:rsid w:val="63DF2454"/>
    <w:rsid w:val="644DECFE"/>
    <w:rsid w:val="6494B8AB"/>
    <w:rsid w:val="64A84C1D"/>
    <w:rsid w:val="64D6B682"/>
    <w:rsid w:val="64E30567"/>
    <w:rsid w:val="65088C7D"/>
    <w:rsid w:val="65544256"/>
    <w:rsid w:val="657744E4"/>
    <w:rsid w:val="657D68DA"/>
    <w:rsid w:val="65E89DC0"/>
    <w:rsid w:val="65EADD53"/>
    <w:rsid w:val="6614DAA2"/>
    <w:rsid w:val="6654E16C"/>
    <w:rsid w:val="667829F9"/>
    <w:rsid w:val="67620A41"/>
    <w:rsid w:val="689F1C25"/>
    <w:rsid w:val="68C76EAA"/>
    <w:rsid w:val="69A336C9"/>
    <w:rsid w:val="6A8C421B"/>
    <w:rsid w:val="6AF669A8"/>
    <w:rsid w:val="6B87AC99"/>
    <w:rsid w:val="6BE59751"/>
    <w:rsid w:val="6C0462A9"/>
    <w:rsid w:val="6C2FECE7"/>
    <w:rsid w:val="6C596C66"/>
    <w:rsid w:val="6C96FE52"/>
    <w:rsid w:val="6C9E7204"/>
    <w:rsid w:val="6CC422F0"/>
    <w:rsid w:val="6D080D06"/>
    <w:rsid w:val="6D9571A2"/>
    <w:rsid w:val="6E7803BC"/>
    <w:rsid w:val="6F18271C"/>
    <w:rsid w:val="6F397E57"/>
    <w:rsid w:val="6F39BA01"/>
    <w:rsid w:val="6F56C8E2"/>
    <w:rsid w:val="6FA66DAA"/>
    <w:rsid w:val="6FB4F9C1"/>
    <w:rsid w:val="70023DC5"/>
    <w:rsid w:val="7064F4B5"/>
    <w:rsid w:val="70A0B839"/>
    <w:rsid w:val="711EBE04"/>
    <w:rsid w:val="71F6EE1D"/>
    <w:rsid w:val="73593781"/>
    <w:rsid w:val="739C9577"/>
    <w:rsid w:val="748FCB8A"/>
    <w:rsid w:val="74AFF797"/>
    <w:rsid w:val="74D5AEE8"/>
    <w:rsid w:val="756F7BCC"/>
    <w:rsid w:val="759AE257"/>
    <w:rsid w:val="7613D717"/>
    <w:rsid w:val="765E621C"/>
    <w:rsid w:val="7692B3EF"/>
    <w:rsid w:val="7721476C"/>
    <w:rsid w:val="775D2121"/>
    <w:rsid w:val="77BF84F3"/>
    <w:rsid w:val="78902380"/>
    <w:rsid w:val="78AF7DC8"/>
    <w:rsid w:val="78C1C517"/>
    <w:rsid w:val="78EE98F9"/>
    <w:rsid w:val="79679248"/>
    <w:rsid w:val="79B45243"/>
    <w:rsid w:val="79C3FA7A"/>
    <w:rsid w:val="79CD67B4"/>
    <w:rsid w:val="7A1693C7"/>
    <w:rsid w:val="7A91E4DC"/>
    <w:rsid w:val="7B0610BE"/>
    <w:rsid w:val="7B0C4933"/>
    <w:rsid w:val="7BE4C903"/>
    <w:rsid w:val="7C61E25E"/>
    <w:rsid w:val="7DA76D88"/>
    <w:rsid w:val="7DB72839"/>
    <w:rsid w:val="7DC20A1C"/>
    <w:rsid w:val="7DCF6A73"/>
    <w:rsid w:val="7DD829DD"/>
    <w:rsid w:val="7E11D1AC"/>
    <w:rsid w:val="7E17575F"/>
    <w:rsid w:val="7E417ABE"/>
    <w:rsid w:val="7F8C824F"/>
    <w:rsid w:val="7FB5DB99"/>
    <w:rsid w:val="7FBEA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68D46D9"/>
  <w15:chartTrackingRefBased/>
  <w15:docId w15:val="{CC2F2118-C34C-4194-BDA5-87D27757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A0A3D"/>
    <w:pPr>
      <w:ind w:left="720"/>
      <w:contextualSpacing/>
    </w:pPr>
  </w:style>
  <w:style w:type="paragraph" w:styleId="BalloonText">
    <w:name w:val="Balloon Text"/>
    <w:basedOn w:val="Normal"/>
    <w:link w:val="BalloonTextChar"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D135D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13F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3FE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1C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1CE6"/>
    <w:rPr>
      <w:b/>
      <w:bCs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qFormat/>
    <w:rsid w:val="006107FF"/>
    <w:rPr>
      <w:rFonts w:ascii="Arial" w:eastAsia="Times New Roman" w:hAnsi="Arial" w:cs="Times New Roman"/>
      <w:sz w:val="24"/>
      <w:szCs w:val="24"/>
      <w:lang w:val="en-US"/>
    </w:rPr>
  </w:style>
  <w:style w:type="paragraph" w:styleId="BodyText2">
    <w:name w:val="Body Text 2"/>
    <w:basedOn w:val="Normal"/>
    <w:link w:val="BodyText2Char"/>
    <w:qFormat/>
    <w:rsid w:val="006107FF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BodyText2Char1">
    <w:name w:val="Body Text 2 Char1"/>
    <w:basedOn w:val="DefaultParagraphFont"/>
    <w:uiPriority w:val="99"/>
    <w:semiHidden/>
    <w:rsid w:val="006107FF"/>
  </w:style>
  <w:style w:type="character" w:customStyle="1" w:styleId="Other">
    <w:name w:val="Other_"/>
    <w:basedOn w:val="DefaultParagraphFont"/>
    <w:link w:val="Other0"/>
    <w:rsid w:val="00AD652D"/>
    <w:rPr>
      <w:rFonts w:ascii="Calibri" w:eastAsia="Calibri" w:hAnsi="Calibri" w:cs="Calibri"/>
      <w:sz w:val="18"/>
      <w:szCs w:val="18"/>
    </w:rPr>
  </w:style>
  <w:style w:type="paragraph" w:customStyle="1" w:styleId="Other0">
    <w:name w:val="Other"/>
    <w:basedOn w:val="Normal"/>
    <w:link w:val="Other"/>
    <w:rsid w:val="00AD652D"/>
    <w:pPr>
      <w:widowControl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paragraph" w:styleId="BodyText">
    <w:name w:val="Body Text"/>
    <w:basedOn w:val="Normal"/>
    <w:link w:val="BodyTextChar"/>
    <w:uiPriority w:val="99"/>
    <w:semiHidden/>
    <w:unhideWhenUsed/>
    <w:rsid w:val="007F7E6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F7E61"/>
  </w:style>
  <w:style w:type="character" w:customStyle="1" w:styleId="Tablecaption">
    <w:name w:val="Table caption_"/>
    <w:basedOn w:val="DefaultParagraphFont"/>
    <w:link w:val="Tablecaption0"/>
    <w:rsid w:val="007F7E61"/>
    <w:rPr>
      <w:rFonts w:ascii="Calibri" w:eastAsia="Calibri" w:hAnsi="Calibri" w:cs="Calibri"/>
      <w:sz w:val="10"/>
      <w:szCs w:val="10"/>
    </w:rPr>
  </w:style>
  <w:style w:type="paragraph" w:customStyle="1" w:styleId="Tablecaption0">
    <w:name w:val="Table caption"/>
    <w:basedOn w:val="Normal"/>
    <w:link w:val="Tablecaption"/>
    <w:rsid w:val="007F7E61"/>
    <w:pPr>
      <w:widowControl w:val="0"/>
      <w:spacing w:after="0" w:line="240" w:lineRule="auto"/>
    </w:pPr>
    <w:rPr>
      <w:rFonts w:ascii="Calibri" w:eastAsia="Calibri" w:hAnsi="Calibri" w:cs="Calibri"/>
      <w:sz w:val="10"/>
      <w:szCs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1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2233</Words>
  <Characters>11617</Characters>
  <Application>Microsoft Office Word</Application>
  <DocSecurity>0</DocSecurity>
  <Lines>505</Lines>
  <Paragraphs>261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MAiC</Company>
  <LinksUpToDate>false</LinksUpToDate>
  <CharactersWithSpaces>13589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Błażej Marciniak</cp:lastModifiedBy>
  <cp:revision>3</cp:revision>
  <dcterms:created xsi:type="dcterms:W3CDTF">2021-09-30T11:22:00Z</dcterms:created>
  <dcterms:modified xsi:type="dcterms:W3CDTF">2021-09-30T16:17:00Z</dcterms:modified>
</cp:coreProperties>
</file>